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Kardigan,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Perceptive Advisors LLC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Alexander Rakitin, 51 Astor Place, 10th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646-205-5345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62"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8,254,144.00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8,254,144.00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8,254,144.00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reported on this page consist of (i) 2,460,195 shares of Common Stock held directly by Perceptive Life</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Sciences Master Fund, Ltd. (the "Master Fund"); (ii) 5,740,466 shares of Common Stock held directly by Perceptive</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Capital Solutions Holdings LP ("PCS Holdings"); and (iii) stock options issued to Douglas Giordano ("Mr. Giordano")</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in connection with his service on the Issuer's board of directors, currently exercisable or exercisable within 60 days for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53,483 shares of Common Stock, with respect to which Perceptive Advisors LLC ("Perceptive Advisors") has the right</w:t>
      </w:r>
    </w:p>
    <w:p>
      <w:pPr>
        <w:jc w:val="both"/>
        <w:ind w:left="920"/>
        <w:spacing w:after="0" w:line="245" w:lineRule="auto"/>
        <w:rPr>
          <w:sz w:val="20"/>
          <w:szCs w:val="20"/>
          <w:color w:val="auto"/>
        </w:rPr>
      </w:pPr>
      <w:r>
        <w:rPr>
          <w:rFonts w:ascii="Times New Roman" w:cs="Times New Roman" w:eastAsia="Times New Roman" w:hAnsi="Times New Roman"/>
          <w:sz w:val="21"/>
          <w:szCs w:val="21"/>
          <w:color w:val="auto"/>
        </w:rPr>
        <w:t>to receive the director compensation provided in respect of Mr. Giordano's board service through a partial management fee offset. Perceptive Advisors serves as the investment manager to the Master Fund. Perceptive Capital Solutions Advisors LP ("PCS Advisors"), a relying adviser of Perceptive Advisors, serves as the investment manager to PCS Holdings, and Perceptive Capital Solutions GP LLC ("PCS GP") serves as the general partner of PCS Holdings. Joseph Edelman ("Mr. Edelman") is the managing member of each of Perceptive Advisors and PCS GP.</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901" w:orient="portrait"/>
          <w:cols w:equalWidth="0" w:num="1">
            <w:col w:w="11240"/>
          </w:cols>
          <w:pgMar w:left="320" w:top="111" w:right="3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8,254,144.00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8,254,144.00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8,254,144.00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reported on this page consist of (i) 2,460,195 shares of Common Stock held directly by the Master Fund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(ii) 5,740,466 shares of Common Stock held directly by PCS Holdings; and (iii) stock options issued to Mr. Giordano</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in connection with his service on the Issuer's board of directors, currently exercisable or exercisable within 60 days for</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53,483 shares of Common Stock, with respect to which Perceptive Advisors has the right to receive the director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compensation provided in respect of Mr. Giordano's board service through a partial management fee offset. Perceptive</w:t>
      </w:r>
    </w:p>
    <w:p>
      <w:pPr>
        <w:spacing w:after="0" w:line="2" w:lineRule="exact"/>
        <w:rPr>
          <w:sz w:val="20"/>
          <w:szCs w:val="20"/>
          <w:color w:val="auto"/>
        </w:rPr>
      </w:pP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Advisors serves as the investment manager to the Master Fund. PCS Advisors, a relying adviser of Perceptive Advisors, serves as the investment manager to PCS Holdings, and PCS GP serves as the general partner of PCS Holdings. Mr. Edelman is the managing member of each of Perceptive Advisors and PCS GP.</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1240"/>
          </w:cols>
          <w:pgMar w:left="320" w:top="612" w:right="339" w:bottom="0" w:gutter="0" w:footer="0" w:header="0"/>
        </w:sectPr>
      </w:pPr>
    </w:p>
    <w:bookmarkStart w:id="3" w:name="page4"/>
    <w:bookmarkEnd w:id="3"/>
    <w:tbl>
      <w:tblPr>
        <w:tblLayout w:type="fixed"/>
        <w:tblInd w:w="40" w:type="dxa"/>
        <w:tblCellMar>
          <w:top w:w="0" w:type="dxa"/>
          <w:left w:w="0" w:type="dxa"/>
          <w:bottom w:w="0" w:type="dxa"/>
          <w:right w:w="0" w:type="dxa"/>
        </w:tblCellMar>
      </w:tblPr>
      <w:tr>
        <w:trPr>
          <w:trHeight w:val="253"/>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  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10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60"/>
              <w:spacing w:after="0" w:line="240"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46"/>
        </w:trPr>
        <w:tc>
          <w:tcPr>
            <w:tcW w:w="110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340"/>
              <w:spacing w:after="0" w:line="246" w:lineRule="exact"/>
              <w:rPr>
                <w:sz w:val="20"/>
                <w:szCs w:val="20"/>
                <w:color w:val="auto"/>
              </w:rPr>
            </w:pPr>
            <w:r>
              <w:rPr>
                <w:rFonts w:ascii="Times New Roman" w:cs="Times New Roman" w:eastAsia="Times New Roman" w:hAnsi="Times New Roman"/>
                <w:sz w:val="22"/>
                <w:szCs w:val="22"/>
                <w:color w:val="auto"/>
              </w:rPr>
              <w:t>2,476,240.00</w:t>
            </w:r>
          </w:p>
        </w:tc>
        <w:tc>
          <w:tcPr>
            <w:tcW w:w="0" w:type="dxa"/>
            <w:vAlign w:val="bottom"/>
          </w:tcPr>
          <w:p>
            <w:pPr>
              <w:spacing w:after="0"/>
              <w:rPr>
                <w:sz w:val="1"/>
                <w:szCs w:val="1"/>
                <w:color w:val="auto"/>
              </w:rPr>
            </w:pPr>
          </w:p>
        </w:tc>
      </w:tr>
      <w:tr>
        <w:trPr>
          <w:trHeight w:val="216"/>
        </w:trPr>
        <w:tc>
          <w:tcPr>
            <w:tcW w:w="11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0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100" w:type="dxa"/>
            <w:vAlign w:val="bottom"/>
            <w:vMerge w:val="continue"/>
          </w:tcPr>
          <w:p>
            <w:pPr>
              <w:spacing w:after="0"/>
              <w:rPr>
                <w:sz w:val="15"/>
                <w:szCs w:val="15"/>
                <w:color w:val="auto"/>
              </w:rPr>
            </w:pPr>
          </w:p>
        </w:tc>
        <w:tc>
          <w:tcPr>
            <w:tcW w:w="74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2,476,240.00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2,476,240.00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reported on this page consist of (i) 2,460,195 shares of Common Stock held directly by the Master Fund;</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and (ii) stock options issued to Mr. Giordano in connection with his service on the Issuer's board of directors, currently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exercisable or exercisable within 60 days for 16,045 shares of Common Stock, with respect to which Perceptive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Advisors has the right to receive the director compensation provided in respect of Mr. Giordano's board service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through a partial management fee offset. Perceptive Advisors serves as the investment manager to the Master Fund.</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Mr. Edelman is the managing member of Perceptive Advisors.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Perceptive Capital Solutions Holdings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5,777,904.00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2" w:right="339" w:bottom="0" w:gutter="0" w:footer="0" w:header="0"/>
        </w:sectPr>
      </w:pPr>
    </w:p>
    <w:bookmarkStart w:id="4" w:name="page5"/>
    <w:bookmarkEnd w:id="4"/>
    <w:p>
      <w:pPr>
        <w:spacing w:after="0" w:line="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5,777,904.00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5,777,904.00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The securities reported on this page consist of (i) 5,740,466 shares of Common Stock held directly by PCS Holdings;</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w w:val="98"/>
              </w:rPr>
              <w:t>and (ii) stock options issued to Mr. Giordano in connection with his service on the Issuer's board of directors, currently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exercisable or exercisable within 60 days for 37,438 shares of Common Stock, with respect to which Perceptive</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Advisors has the right to receive the director compensation provided in respect of Mr. Giordano's board service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through a partial management fee offset. PCS Advisors, a relying adviser of Perceptive Advisors, serves as the</w:t>
      </w:r>
    </w:p>
    <w:p>
      <w:pPr>
        <w:spacing w:after="0" w:line="2" w:lineRule="exact"/>
        <w:rPr>
          <w:sz w:val="20"/>
          <w:szCs w:val="20"/>
          <w:color w:val="auto"/>
        </w:rPr>
      </w:pPr>
    </w:p>
    <w:p>
      <w:pPr>
        <w:ind w:left="920"/>
        <w:spacing w:after="0" w:line="237" w:lineRule="auto"/>
        <w:rPr>
          <w:sz w:val="20"/>
          <w:szCs w:val="20"/>
          <w:color w:val="auto"/>
        </w:rPr>
      </w:pPr>
      <w:r>
        <w:rPr>
          <w:rFonts w:ascii="Times New Roman" w:cs="Times New Roman" w:eastAsia="Times New Roman" w:hAnsi="Times New Roman"/>
          <w:sz w:val="22"/>
          <w:szCs w:val="22"/>
          <w:color w:val="auto"/>
        </w:rPr>
        <w:t>investment manager to PCS Holdings, and PCS GP serves as the general partner of PCS Holdings. Mr. Edelman is the managing member of each of Perceptive Advisors and PCS GP.</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Kardigan, Inc.</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506 Carnegie Center Drive, Suite 201, Princeton, NEW JERSEY , 08540.</w:t>
      </w:r>
    </w:p>
    <w:p>
      <w:pPr>
        <w:spacing w:after="0" w:line="20"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80" w:right="140"/>
        <w:spacing w:after="0" w:line="247" w:lineRule="auto"/>
        <w:rPr>
          <w:sz w:val="20"/>
          <w:szCs w:val="20"/>
          <w:color w:val="auto"/>
        </w:rPr>
      </w:pPr>
      <w:r>
        <w:rPr>
          <w:rFonts w:ascii="Times New Roman" w:cs="Times New Roman" w:eastAsia="Times New Roman" w:hAnsi="Times New Roman"/>
          <w:sz w:val="21"/>
          <w:szCs w:val="21"/>
          <w:color w:val="auto"/>
        </w:rPr>
        <w:t>This Schedule 13D is being filed by Perceptive Advisors LLC ("Perceptive Advisors"), Joseph Edelman ("Mr. Edelman"), Perceptive Life Sciences Master Fund, Ltd. (the "Master Fund"), Perceptive Capital Solutions Holdings LP ("PCS Holdings" and together with Perceptive Advisors, Mr. Edelman, and the Master Fund, each of the foregoing, a "Reporting Person," and collectively, the "Reporting Persons") with respect to shares of Common Stock,</w:t>
      </w:r>
    </w:p>
    <w:p>
      <w:pPr>
        <w:spacing w:after="0" w:line="2" w:lineRule="exact"/>
        <w:rPr>
          <w:sz w:val="20"/>
          <w:szCs w:val="20"/>
          <w:color w:val="auto"/>
        </w:rPr>
      </w:pPr>
    </w:p>
    <w:p>
      <w:pPr>
        <w:ind w:left="980" w:right="60" w:hanging="932"/>
        <w:spacing w:after="0" w:line="201" w:lineRule="auto"/>
        <w:tabs>
          <w:tab w:leader="none" w:pos="980" w:val="left"/>
        </w:tabs>
        <w:numPr>
          <w:ilvl w:val="0"/>
          <w:numId w:val="1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par value $0.00001 per share (the "Common Stock") of Kardigan, Inc. (the "Issuer"). Perceptive Advisors serves as the investment manager to the Master Fund. Perceptive Capital Solutions Advisors LP, a relying adviser of Perceptive Advisors, serves as the investment manager to PCS Holdings, and Perceptive Capital Solutions GP LLC ("PCS GP") serves as the general partner of PCS Holdings. Mr. Edelman is the managing member of PCS GP and Perceptive Advisors. The agreement among the Reporting Persons to file this Schedule 13D jointly in accordance with Rule 13d-1(k) of the Securities Exchange Act of 1934, as amended, is attached hereto as Exhibit 99.1.</w:t>
      </w:r>
    </w:p>
    <w:p>
      <w:pPr>
        <w:spacing w:after="0" w:line="14" w:lineRule="exact"/>
        <w:rPr>
          <w:rFonts w:ascii="Times New Roman" w:cs="Times New Roman" w:eastAsia="Times New Roman" w:hAnsi="Times New Roman"/>
          <w:sz w:val="43"/>
          <w:szCs w:val="43"/>
          <w:color w:val="auto"/>
          <w:vertAlign w:val="subscript"/>
        </w:rPr>
      </w:pPr>
    </w:p>
    <w:p>
      <w:pPr>
        <w:ind w:left="980" w:right="100" w:hanging="932"/>
        <w:spacing w:after="0" w:line="185" w:lineRule="auto"/>
        <w:tabs>
          <w:tab w:leader="none" w:pos="98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51 Astor Place 10th Floor, New York, NY 10003.</w:t>
      </w:r>
    </w:p>
    <w:p>
      <w:pPr>
        <w:spacing w:after="0" w:line="17" w:lineRule="exact"/>
        <w:rPr>
          <w:rFonts w:ascii="Times New Roman" w:cs="Times New Roman" w:eastAsia="Times New Roman" w:hAnsi="Times New Roman"/>
          <w:sz w:val="39"/>
          <w:szCs w:val="39"/>
          <w:color w:val="auto"/>
          <w:vertAlign w:val="subscript"/>
        </w:rPr>
      </w:pPr>
    </w:p>
    <w:p>
      <w:pPr>
        <w:ind w:left="98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The principal business of Perceptive Advisors is managing funds in connection with purchasing, holding and selling</w:t>
      </w:r>
    </w:p>
    <w:p>
      <w:pPr>
        <w:spacing w:after="0" w:line="14" w:lineRule="exact"/>
        <w:rPr>
          <w:rFonts w:ascii="Times New Roman" w:cs="Times New Roman" w:eastAsia="Times New Roman" w:hAnsi="Times New Roman"/>
          <w:sz w:val="39"/>
          <w:szCs w:val="39"/>
          <w:color w:val="auto"/>
          <w:vertAlign w:val="subscript"/>
        </w:rPr>
      </w:pPr>
    </w:p>
    <w:p>
      <w:pPr>
        <w:ind w:left="980" w:right="220" w:hanging="932"/>
        <w:spacing w:after="0" w:line="184" w:lineRule="auto"/>
        <w:tabs>
          <w:tab w:leader="none" w:pos="980" w:val="left"/>
        </w:tabs>
        <w:numPr>
          <w:ilvl w:val="0"/>
          <w:numId w:val="11"/>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securities for investment purposes. The principal business of the Master Fund is to invest in securities. The principal business of PCS Holdings is to invest in securities. The principal occupation of Mr. Edelman is as the managing member of Perceptive Advisors and other related entities.</w:t>
      </w:r>
    </w:p>
    <w:p>
      <w:pPr>
        <w:spacing w:after="0" w:line="18" w:lineRule="exact"/>
        <w:rPr>
          <w:rFonts w:ascii="Times New Roman" w:cs="Times New Roman" w:eastAsia="Times New Roman" w:hAnsi="Times New Roman"/>
          <w:sz w:val="42"/>
          <w:szCs w:val="42"/>
          <w:color w:val="auto"/>
          <w:vertAlign w:val="subscript"/>
        </w:rPr>
      </w:pPr>
    </w:p>
    <w:p>
      <w:pPr>
        <w:ind w:left="98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During the last five years, none of the Reporting Persons, nor to the Reporting Persons' knowledge, any of the persons</w:t>
      </w:r>
    </w:p>
    <w:p>
      <w:pPr>
        <w:spacing w:after="0" w:line="25" w:lineRule="exact"/>
        <w:rPr>
          <w:rFonts w:ascii="Times New Roman" w:cs="Times New Roman" w:eastAsia="Times New Roman" w:hAnsi="Times New Roman"/>
          <w:sz w:val="42"/>
          <w:szCs w:val="42"/>
          <w:color w:val="auto"/>
          <w:vertAlign w:val="subscript"/>
        </w:rPr>
      </w:pPr>
    </w:p>
    <w:p>
      <w:pPr>
        <w:ind w:left="980" w:right="240" w:hanging="932"/>
        <w:spacing w:after="0" w:line="237"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listed on Schedule A to this Schedule 13D,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80" w:right="40" w:hanging="932"/>
        <w:spacing w:after="0" w:line="255" w:lineRule="auto"/>
        <w:tabs>
          <w:tab w:leader="none" w:pos="9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last five years, none of the Reporting Persons, nor to the Reporting Persons' knowledge, any of the persons listed on Schedule A to this Schedule 13D,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w:t>
      </w:r>
    </w:p>
    <w:p>
      <w:pPr>
        <w:sectPr>
          <w:pgSz w:w="11900" w:h="16864" w:orient="portrait"/>
          <w:cols w:equalWidth="0" w:num="1">
            <w:col w:w="11240"/>
          </w:cols>
          <w:pgMar w:left="320" w:top="355" w:right="33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Times New Roman" w:cs="Times New Roman" w:eastAsia="Times New Roman" w:hAnsi="Times New Roman"/>
          <w:sz w:val="21"/>
          <w:szCs w:val="21"/>
          <w:color w:val="auto"/>
        </w:rPr>
        <w:t>finding any violation with respect to such laws, other than the previously announced settlement order entered into by Perceptive Advisors with the Securities and Exchange Commission dated September 6, 2022 (File No. 3-21031).</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Perceptive Advisors is a Delaware limited liability company. Mr. Edelman is a United States citizen. The Master Fund is a Cayman Islands corporation. PCS Holdings is a Delaware partnership.</w:t>
      </w:r>
    </w:p>
    <w:p>
      <w:pPr>
        <w:spacing w:after="0"/>
        <w:rPr>
          <w:sz w:val="20"/>
          <w:szCs w:val="20"/>
          <w:color w:val="auto"/>
        </w:rPr>
      </w:pPr>
      <w:r>
        <w:rPr>
          <w:rFonts w:ascii="Times New Roman" w:cs="Times New Roman" w:eastAsia="Times New Roman" w:hAnsi="Times New Roman"/>
          <w:sz w:val="22"/>
          <w:szCs w:val="22"/>
          <w:color w:val="auto"/>
        </w:rPr>
        <w:t>Source and Amount of Funds or Other Consideration</w:t>
      </w:r>
    </w:p>
    <w:p>
      <w:pPr>
        <w:spacing w:after="0" w:line="4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source of funds for the acquisitions of the Common Stock reported on this Schedule 13D was working capital of the Master Fund and PCS Holdings.</w:t>
      </w:r>
    </w:p>
    <w:p>
      <w:pPr>
        <w:spacing w:after="0"/>
        <w:rPr>
          <w:sz w:val="20"/>
          <w:szCs w:val="20"/>
          <w:color w:val="auto"/>
        </w:rPr>
      </w:pPr>
      <w:r>
        <w:rPr>
          <w:rFonts w:ascii="Times New Roman" w:cs="Times New Roman" w:eastAsia="Times New Roman" w:hAnsi="Times New Roman"/>
          <w:sz w:val="22"/>
          <w:szCs w:val="22"/>
          <w:color w:val="auto"/>
        </w:rPr>
        <w:t>Purpose of Transaction</w:t>
      </w:r>
    </w:p>
    <w:p>
      <w:pPr>
        <w:spacing w:after="0" w:line="44" w:lineRule="exact"/>
        <w:rPr>
          <w:sz w:val="20"/>
          <w:szCs w:val="20"/>
          <w:color w:val="auto"/>
        </w:rPr>
      </w:pPr>
    </w:p>
    <w:p>
      <w:pPr>
        <w:sectPr>
          <w:pgSz w:w="11900" w:h="16838" w:orient="portrait"/>
          <w:cols w:equalWidth="0" w:num="2">
            <w:col w:w="620" w:space="320"/>
            <w:col w:w="10220"/>
          </w:cols>
          <w:pgMar w:left="360" w:top="111" w:right="379" w:bottom="0" w:gutter="0" w:footer="0" w:header="0"/>
        </w:sectPr>
      </w:pPr>
    </w:p>
    <w:p>
      <w:pPr>
        <w:ind w:left="940"/>
        <w:spacing w:after="0" w:line="232" w:lineRule="auto"/>
        <w:rPr>
          <w:sz w:val="20"/>
          <w:szCs w:val="20"/>
          <w:color w:val="auto"/>
        </w:rPr>
      </w:pPr>
      <w:r>
        <w:rPr>
          <w:rFonts w:ascii="Times New Roman" w:cs="Times New Roman" w:eastAsia="Times New Roman" w:hAnsi="Times New Roman"/>
          <w:sz w:val="22"/>
          <w:szCs w:val="22"/>
          <w:color w:val="auto"/>
        </w:rPr>
        <w:t>The Reporting Persons acquired the shares of Common Stock set forth in Item 5(c) and hold their shares of Common Stock for investment purposes. Douglas Giordano serves as a member of the Issuer's board of directors, and is a Managing Director at Perceptive Advisors. Each Reporting Person expects to continuously review such person's investment in the Issuer and, depending on various factors including but not limited to, the price of the shares of Common Stock, the terms and conditions of the transaction, prevailing market conditions and such other considerations as such Reporting Person deems relevant, may at any time or from time to time, and subject to any required regulatory approvals, acquire additional shares of Common Stock, preferred stock or other securities convertible into or exercisable or exchangeable for Common Stock from time to time on the open market, in privately- negotiated transactions, directly from the Issuer, or upon the exercise or conversion of securities convertible into or exercisable or exchangeable for Common Stock. Each Reporting Person also may, at any time, subject to compliance with applicable securities laws and regulatory requirements dispose or distribute some or all of its or his Common Stock or such other securities as it or he owns or may subsequently acquire depending on various factors, including but not limited to, the price of the shares, the terms and conditions of the transaction and prevailing market conditions, as well as the liquidity and diversification objectives. Consistent with their investment intent, each Reporting Person may from time to time discuss with the Issuer's management, directors, other shareholders and others, the Issuer's performance, business, strategic direction, capital structure, product development program, prospects and management, as well as various ways of maximizing stockholder value, which may or may not include extraordinary transactions. Except as indicated herein, no Reporting Person, as a stockholder of the Issuer, has any plans or proposals that relates or would result in any of the transactions or other matters specified in clauses (a) through (j) of Item 4 of Schedule 13D. Each Reporting Person may, at any time and from time to time, review or reconsider its or his position and/or change its or his purpose and/or formulate plans or proposals with respect thereto. The information set forth in Item 6 below is incorporated by reference to this Item 4.</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40"/>
        <w:spacing w:after="0" w:line="253" w:lineRule="auto"/>
        <w:rPr>
          <w:sz w:val="20"/>
          <w:szCs w:val="20"/>
          <w:color w:val="auto"/>
        </w:rPr>
      </w:pPr>
      <w:r>
        <w:rPr>
          <w:rFonts w:ascii="Times New Roman" w:cs="Times New Roman" w:eastAsia="Times New Roman" w:hAnsi="Times New Roman"/>
          <w:sz w:val="21"/>
          <w:szCs w:val="21"/>
          <w:color w:val="auto"/>
        </w:rPr>
        <w:t>The information set forth in rows 11 and 13 of the cover pages to this Schedule 13D is incorporated by reference. The percentages set forth in row 13 are based on 93,089,121 shares of Common Stock outstanding, as reported by the</w:t>
      </w:r>
    </w:p>
    <w:p>
      <w:pPr>
        <w:spacing w:after="0" w:line="1" w:lineRule="exact"/>
        <w:rPr>
          <w:sz w:val="20"/>
          <w:szCs w:val="20"/>
          <w:color w:val="auto"/>
        </w:rPr>
      </w:pPr>
    </w:p>
    <w:p>
      <w:pPr>
        <w:jc w:val="both"/>
        <w:ind w:left="940" w:right="300" w:hanging="932"/>
        <w:spacing w:after="0" w:line="249" w:lineRule="auto"/>
        <w:tabs>
          <w:tab w:leader="none" w:pos="9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Issuer in its prospectus filed pursuant to Rule 424(b)(4) with the Securities and Exchange Commission on June 18, 2026, giving effect to the underwriters' exercise of their over-allotment option, and assumes the exercise of vested stock options issued to Douglas Giordano in connection with his service on the Issuer's board of directors.</w:t>
      </w:r>
    </w:p>
    <w:p>
      <w:pPr>
        <w:spacing w:after="0" w:line="7" w:lineRule="exact"/>
        <w:rPr>
          <w:rFonts w:ascii="Times New Roman" w:cs="Times New Roman" w:eastAsia="Times New Roman" w:hAnsi="Times New Roman"/>
          <w:sz w:val="21"/>
          <w:szCs w:val="21"/>
          <w:color w:val="auto"/>
        </w:rPr>
      </w:pPr>
    </w:p>
    <w:p>
      <w:pPr>
        <w:ind w:left="940" w:right="180"/>
        <w:spacing w:after="0" w:line="25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set forth in rows 7 through 10 of the cover pages to this Schedule 13D is incorporated by reference. Douglas Giordano, a managing director at Perceptive Advisors, holds stock options for a total of 113,513 shares of</w:t>
      </w:r>
    </w:p>
    <w:p>
      <w:pPr>
        <w:ind w:left="940" w:right="20" w:hanging="932"/>
        <w:spacing w:after="0" w:line="235" w:lineRule="auto"/>
        <w:tabs>
          <w:tab w:leader="none" w:pos="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of which 53,483 are currently exercisable, or exercisable within 60 days. Perceptive Advisors has the right to receive the director compensation provided in respect of Mr. Giordano's board service through a partial management fee offset.</w:t>
      </w:r>
    </w:p>
    <w:p>
      <w:pPr>
        <w:spacing w:after="0" w:line="15"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June 17, 2026 in connection with the Issuer's initial public offering (the "IPO"), shares of the Issuer's Series A</w:t>
      </w:r>
    </w:p>
    <w:p>
      <w:pPr>
        <w:spacing w:after="0" w:line="14" w:lineRule="exact"/>
        <w:rPr>
          <w:rFonts w:ascii="Times New Roman" w:cs="Times New Roman" w:eastAsia="Times New Roman" w:hAnsi="Times New Roman"/>
          <w:sz w:val="22"/>
          <w:szCs w:val="22"/>
          <w:color w:val="auto"/>
        </w:rPr>
      </w:pPr>
    </w:p>
    <w:p>
      <w:pPr>
        <w:ind w:left="940" w:right="100" w:hanging="932"/>
        <w:spacing w:after="0" w:line="184" w:lineRule="auto"/>
        <w:tabs>
          <w:tab w:leader="none" w:pos="94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Convertible Redeemable Preferred Stock held by the Reporting Persons were automatically converted into 8,200,661 shares of Common Stock. Except as described in this Item 5(c), none of the Reporting Persons has effected any transaction in shares of Common Stock in the past sixty days.</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No person other than the Reporting Persons disclosed in this Schedule 13D is known to have the right to receive or</w:t>
      </w:r>
    </w:p>
    <w:p>
      <w:pPr>
        <w:spacing w:after="0" w:line="14" w:lineRule="exact"/>
        <w:rPr>
          <w:rFonts w:ascii="Times New Roman" w:cs="Times New Roman" w:eastAsia="Times New Roman" w:hAnsi="Times New Roman"/>
          <w:sz w:val="42"/>
          <w:szCs w:val="42"/>
          <w:color w:val="auto"/>
          <w:vertAlign w:val="subscript"/>
        </w:rPr>
      </w:pPr>
    </w:p>
    <w:p>
      <w:pPr>
        <w:ind w:left="940" w:right="160" w:hanging="932"/>
        <w:spacing w:after="0" w:line="237" w:lineRule="auto"/>
        <w:tabs>
          <w:tab w:leader="none" w:pos="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power to direct the receipt of dividends from, or the proceeds from the sale of, the Common Stock subject to this Schedule 13D.</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8" w:lineRule="auto"/>
        <w:rPr>
          <w:sz w:val="20"/>
          <w:szCs w:val="20"/>
          <w:color w:val="auto"/>
        </w:rPr>
      </w:pPr>
      <w:r>
        <w:rPr>
          <w:rFonts w:ascii="Times New Roman" w:cs="Times New Roman" w:eastAsia="Times New Roman" w:hAnsi="Times New Roman"/>
          <w:sz w:val="21"/>
          <w:szCs w:val="21"/>
          <w:color w:val="auto"/>
        </w:rPr>
        <w:t>Lock-up Agreement In connection with the IPO, the Master Fund and PCS Holdings entered into a lock-up agreement (the "Lock-up Agreement") with the representatives of the several underwriters. Pursuant to the Lock-up Agreement, the Master Fund and PCS Holdings, subject to certain exceptions, agreed not to sell or otherwise transfer any shares of Common Stock or securities convertible into, exchangeable for or exercisable for Common Stock for 180 days after the date of the prospectus relating to the IPO without the prior consent of the representatives. The foregoing summary of the Lock-up Agreement does not purport to be complete and is qualified in its entirety by reference to the Lock-up Agreement, which is filed as an exhibit hereto and incorporated by reference herein.</w:t>
      </w:r>
    </w:p>
    <w:p>
      <w:pPr>
        <w:spacing w:after="0" w:line="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260"/>
        <w:spacing w:after="0" w:line="244" w:lineRule="auto"/>
        <w:rPr>
          <w:sz w:val="20"/>
          <w:szCs w:val="20"/>
          <w:color w:val="auto"/>
        </w:rPr>
      </w:pPr>
      <w:r>
        <w:rPr>
          <w:rFonts w:ascii="Times New Roman" w:cs="Times New Roman" w:eastAsia="Times New Roman" w:hAnsi="Times New Roman"/>
          <w:sz w:val="22"/>
          <w:szCs w:val="22"/>
          <w:color w:val="auto"/>
        </w:rPr>
        <w:t>Exhibit 1 - Form of Lock-up Agreement (incorporated by reference to Exhibit D to Exhibit 1.1 to the Issuer's Registration Statement on Form S-1/A (File No. 333-296236)). Exhibit 99 - Schedule D. Exhibit 99.1 - Joint Filing Agreement.</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60"/>
          </w:cols>
          <w:pgMar w:left="360" w:top="111" w:right="379" w:bottom="0" w:gutter="0" w:footer="0" w:header="0"/>
          <w:type w:val="continuous"/>
        </w:sectPr>
      </w:pPr>
    </w:p>
    <w:bookmarkStart w:id="6" w:name="page7"/>
    <w:bookmarkEnd w:id="6"/>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Joseph Edelman, Managing Member</w:t>
      </w:r>
    </w:p>
    <w:p>
      <w:pPr>
        <w:spacing w:after="0" w:line="56"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Joseph Edelman, Managing Member</w:t>
      </w:r>
    </w:p>
    <w:p>
      <w:pPr>
        <w:spacing w:after="0" w:line="56"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pacing w:after="0" w:line="15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color w:val="auto"/>
        </w:rPr>
        <w:t>Perceptive Capital Solutions Holdings LP</w:t>
      </w:r>
    </w:p>
    <w:p>
      <w:pPr>
        <w:spacing w:after="0" w:line="152"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Joseph Edelman, Managing Member</w:t>
      </w:r>
    </w:p>
    <w:p>
      <w:pPr>
        <w:spacing w:after="0" w:line="56" w:lineRule="exact"/>
        <w:rPr>
          <w:sz w:val="20"/>
          <w:szCs w:val="20"/>
          <w:color w:val="auto"/>
        </w:rPr>
      </w:pPr>
    </w:p>
    <w:p>
      <w:pPr>
        <w:ind w:left="338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p>
      <w:pPr>
        <w:sectPr>
          <w:pgSz w:w="11900" w:h="16838" w:orient="portrait"/>
          <w:cols w:equalWidth="0" w:num="1">
            <w:col w:w="9019"/>
          </w:cols>
          <w:pgMar w:left="1440" w:top="111"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auto"/>
        </w:rPr>
        <w:t>Schedule A</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following sets forth the name, address, principal occupation, citizenship and beneficial ownership of the shares of Common Stock (to the extent not pursuant to Item 5(a)) of each director of the Master Fund (to the extent not set forth in Item 2).</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Fund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760" w:type="dxa"/>
            <w:vAlign w:val="bottom"/>
            <w:tcBorders>
              <w:top w:val="single" w:sz="8" w:color="auto"/>
            </w:tcBorders>
          </w:tcPr>
          <w:p>
            <w:pPr>
              <w:jc w:val="center"/>
              <w:spacing w:after="0" w:line="179" w:lineRule="exact"/>
              <w:rPr>
                <w:sz w:val="20"/>
                <w:szCs w:val="20"/>
                <w:color w:val="auto"/>
              </w:rPr>
            </w:pPr>
            <w:r>
              <w:rPr>
                <w:rFonts w:ascii="Arial" w:cs="Arial" w:eastAsia="Arial" w:hAnsi="Arial"/>
                <w:sz w:val="18"/>
                <w:szCs w:val="18"/>
                <w:b w:val="1"/>
                <w:bCs w:val="1"/>
                <w:color w:val="auto"/>
                <w:w w:val="99"/>
              </w:rPr>
              <w:t>Beneficial Ownership of</w:t>
            </w:r>
          </w:p>
        </w:tc>
        <w:tc>
          <w:tcPr>
            <w:tcW w:w="0" w:type="dxa"/>
            <w:vAlign w:val="bottom"/>
          </w:tcPr>
          <w:p>
            <w:pPr>
              <w:spacing w:after="0"/>
              <w:rPr>
                <w:sz w:val="1"/>
                <w:szCs w:val="1"/>
                <w:color w:val="auto"/>
              </w:rPr>
            </w:pPr>
          </w:p>
        </w:tc>
      </w:tr>
      <w:tr>
        <w:trPr>
          <w:trHeight w:val="221"/>
        </w:trPr>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Name and Citizenship</w:t>
            </w:r>
          </w:p>
        </w:tc>
        <w:tc>
          <w:tcPr>
            <w:tcW w:w="12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rPr>
              <w:t>Position</w:t>
            </w:r>
          </w:p>
        </w:tc>
        <w:tc>
          <w:tcPr>
            <w:tcW w:w="12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Business Address</w:t>
            </w:r>
          </w:p>
        </w:tc>
        <w:tc>
          <w:tcPr>
            <w:tcW w:w="100" w:type="dxa"/>
            <w:vAlign w:val="bottom"/>
          </w:tcPr>
          <w:p>
            <w:pPr>
              <w:spacing w:after="0"/>
              <w:rPr>
                <w:sz w:val="19"/>
                <w:szCs w:val="19"/>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Shares of Common Stock</w:t>
            </w:r>
          </w:p>
        </w:tc>
        <w:tc>
          <w:tcPr>
            <w:tcW w:w="0" w:type="dxa"/>
            <w:vAlign w:val="bottom"/>
          </w:tcPr>
          <w:p>
            <w:pPr>
              <w:spacing w:after="0"/>
              <w:rPr>
                <w:sz w:val="1"/>
                <w:szCs w:val="1"/>
                <w:color w:val="auto"/>
              </w:rPr>
            </w:pPr>
          </w:p>
        </w:tc>
      </w:tr>
      <w:tr>
        <w:trPr>
          <w:trHeight w:val="20"/>
        </w:trPr>
        <w:tc>
          <w:tcPr>
            <w:tcW w:w="28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760" w:type="dxa"/>
            <w:vAlign w:val="bottom"/>
            <w:vMerge w:val="restart"/>
          </w:tcPr>
          <w:p>
            <w:pPr>
              <w:jc w:val="center"/>
              <w:spacing w:after="0" w:line="204" w:lineRule="exact"/>
              <w:rPr>
                <w:sz w:val="20"/>
                <w:szCs w:val="20"/>
                <w:color w:val="auto"/>
              </w:rPr>
            </w:pPr>
            <w:r>
              <w:rPr>
                <w:rFonts w:ascii="Arial" w:cs="Arial" w:eastAsia="Arial" w:hAnsi="Arial"/>
                <w:sz w:val="18"/>
                <w:szCs w:val="18"/>
                <w:color w:val="auto"/>
              </w:rPr>
              <w:t>None</w:t>
            </w:r>
          </w:p>
        </w:tc>
        <w:tc>
          <w:tcPr>
            <w:tcW w:w="0" w:type="dxa"/>
            <w:vAlign w:val="bottom"/>
          </w:tcPr>
          <w:p>
            <w:pPr>
              <w:spacing w:after="0" w:line="20" w:lineRule="exact"/>
              <w:rPr>
                <w:sz w:val="1"/>
                <w:szCs w:val="1"/>
                <w:color w:val="auto"/>
              </w:rPr>
            </w:pPr>
          </w:p>
        </w:tc>
      </w:tr>
      <w:tr>
        <w:trPr>
          <w:trHeight w:val="164"/>
        </w:trPr>
        <w:tc>
          <w:tcPr>
            <w:tcW w:w="2880" w:type="dxa"/>
            <w:vAlign w:val="bottom"/>
          </w:tcPr>
          <w:p>
            <w:pPr>
              <w:jc w:val="center"/>
              <w:spacing w:after="0" w:line="164" w:lineRule="exact"/>
              <w:rPr>
                <w:sz w:val="20"/>
                <w:szCs w:val="20"/>
                <w:color w:val="auto"/>
              </w:rPr>
            </w:pPr>
            <w:r>
              <w:rPr>
                <w:rFonts w:ascii="Arial" w:cs="Arial" w:eastAsia="Arial" w:hAnsi="Arial"/>
                <w:sz w:val="18"/>
                <w:szCs w:val="18"/>
                <w:color w:val="auto"/>
                <w:w w:val="98"/>
              </w:rPr>
              <w:t>Scott Dakers</w:t>
            </w:r>
          </w:p>
        </w:tc>
        <w:tc>
          <w:tcPr>
            <w:tcW w:w="120" w:type="dxa"/>
            <w:vAlign w:val="bottom"/>
            <w:vMerge w:val="continue"/>
          </w:tcPr>
          <w:p>
            <w:pPr>
              <w:spacing w:after="0"/>
              <w:rPr>
                <w:sz w:val="14"/>
                <w:szCs w:val="14"/>
                <w:color w:val="auto"/>
              </w:rPr>
            </w:pPr>
          </w:p>
        </w:tc>
        <w:tc>
          <w:tcPr>
            <w:tcW w:w="2320" w:type="dxa"/>
            <w:vAlign w:val="bottom"/>
          </w:tcPr>
          <w:p>
            <w:pPr>
              <w:jc w:val="center"/>
              <w:spacing w:after="0" w:line="164" w:lineRule="exact"/>
              <w:rPr>
                <w:sz w:val="20"/>
                <w:szCs w:val="20"/>
                <w:color w:val="auto"/>
              </w:rPr>
            </w:pPr>
            <w:r>
              <w:rPr>
                <w:rFonts w:ascii="Arial" w:cs="Arial" w:eastAsia="Arial" w:hAnsi="Arial"/>
                <w:sz w:val="18"/>
                <w:szCs w:val="18"/>
                <w:color w:val="auto"/>
              </w:rPr>
              <w:t>Director</w:t>
            </w:r>
          </w:p>
        </w:tc>
        <w:tc>
          <w:tcPr>
            <w:tcW w:w="120" w:type="dxa"/>
            <w:vAlign w:val="bottom"/>
            <w:vMerge w:val="continue"/>
          </w:tcPr>
          <w:p>
            <w:pPr>
              <w:spacing w:after="0"/>
              <w:rPr>
                <w:sz w:val="14"/>
                <w:szCs w:val="14"/>
                <w:color w:val="auto"/>
              </w:rPr>
            </w:pPr>
          </w:p>
        </w:tc>
        <w:tc>
          <w:tcPr>
            <w:tcW w:w="2940" w:type="dxa"/>
            <w:vAlign w:val="bottom"/>
          </w:tcPr>
          <w:p>
            <w:pPr>
              <w:jc w:val="center"/>
              <w:spacing w:after="0" w:line="164" w:lineRule="exact"/>
              <w:rPr>
                <w:sz w:val="20"/>
                <w:szCs w:val="20"/>
                <w:color w:val="auto"/>
              </w:rPr>
            </w:pPr>
            <w:r>
              <w:rPr>
                <w:rFonts w:ascii="Arial" w:cs="Arial" w:eastAsia="Arial" w:hAnsi="Arial"/>
                <w:sz w:val="18"/>
                <w:szCs w:val="18"/>
                <w:color w:val="auto"/>
                <w:w w:val="99"/>
              </w:rPr>
              <w:t>c/o Elian Fiduciary Services</w:t>
            </w:r>
          </w:p>
        </w:tc>
        <w:tc>
          <w:tcPr>
            <w:tcW w:w="10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80" w:type="dxa"/>
            <w:vAlign w:val="bottom"/>
          </w:tcPr>
          <w:p>
            <w:pPr>
              <w:jc w:val="center"/>
              <w:spacing w:after="0" w:line="202" w:lineRule="exact"/>
              <w:rPr>
                <w:sz w:val="20"/>
                <w:szCs w:val="20"/>
                <w:color w:val="auto"/>
              </w:rPr>
            </w:pPr>
            <w:r>
              <w:rPr>
                <w:rFonts w:ascii="Arial" w:cs="Arial" w:eastAsia="Arial" w:hAnsi="Arial"/>
                <w:sz w:val="18"/>
                <w:szCs w:val="18"/>
                <w:color w:val="auto"/>
                <w:w w:val="99"/>
              </w:rPr>
              <w:t>(United Kingdom)</w:t>
            </w: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jc w:val="center"/>
              <w:spacing w:after="0" w:line="202" w:lineRule="exact"/>
              <w:rPr>
                <w:sz w:val="20"/>
                <w:szCs w:val="20"/>
                <w:color w:val="auto"/>
              </w:rPr>
            </w:pPr>
            <w:r>
              <w:rPr>
                <w:rFonts w:ascii="Arial" w:cs="Arial" w:eastAsia="Arial" w:hAnsi="Arial"/>
                <w:sz w:val="18"/>
                <w:szCs w:val="18"/>
                <w:color w:val="auto"/>
                <w:w w:val="99"/>
              </w:rPr>
              <w:t>(Cayman) Limited</w:t>
            </w:r>
          </w:p>
        </w:tc>
        <w:tc>
          <w:tcPr>
            <w:tcW w:w="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jc w:val="center"/>
              <w:spacing w:after="0" w:line="202" w:lineRule="exact"/>
              <w:rPr>
                <w:sz w:val="20"/>
                <w:szCs w:val="20"/>
                <w:color w:val="auto"/>
              </w:rPr>
            </w:pPr>
            <w:r>
              <w:rPr>
                <w:rFonts w:ascii="Arial" w:cs="Arial" w:eastAsia="Arial" w:hAnsi="Arial"/>
                <w:sz w:val="18"/>
                <w:szCs w:val="18"/>
                <w:color w:val="auto"/>
                <w:w w:val="99"/>
              </w:rPr>
              <w:t>190 Elgin Avenue, George Town</w:t>
            </w:r>
          </w:p>
        </w:tc>
        <w:tc>
          <w:tcPr>
            <w:tcW w:w="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jc w:val="center"/>
              <w:spacing w:after="0" w:line="202" w:lineRule="exact"/>
              <w:rPr>
                <w:sz w:val="20"/>
                <w:szCs w:val="20"/>
                <w:color w:val="auto"/>
              </w:rPr>
            </w:pPr>
            <w:r>
              <w:rPr>
                <w:rFonts w:ascii="Arial" w:cs="Arial" w:eastAsia="Arial" w:hAnsi="Arial"/>
                <w:sz w:val="18"/>
                <w:szCs w:val="18"/>
                <w:color w:val="auto"/>
                <w:w w:val="99"/>
              </w:rPr>
              <w:t>Grand Cayman KY1-9007</w:t>
            </w:r>
          </w:p>
        </w:tc>
        <w:tc>
          <w:tcPr>
            <w:tcW w:w="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rPr>
              <w:t>Cayman Islands</w:t>
            </w: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2880" w:type="dxa"/>
            <w:vAlign w:val="bottom"/>
          </w:tcPr>
          <w:p>
            <w:pPr>
              <w:jc w:val="center"/>
              <w:spacing w:after="0"/>
              <w:rPr>
                <w:sz w:val="20"/>
                <w:szCs w:val="20"/>
                <w:color w:val="auto"/>
              </w:rPr>
            </w:pPr>
            <w:r>
              <w:rPr>
                <w:rFonts w:ascii="Arial" w:cs="Arial" w:eastAsia="Arial" w:hAnsi="Arial"/>
                <w:sz w:val="18"/>
                <w:szCs w:val="18"/>
                <w:color w:val="auto"/>
                <w:w w:val="99"/>
              </w:rPr>
              <w:t>James Nicholas</w:t>
            </w:r>
          </w:p>
        </w:tc>
        <w:tc>
          <w:tcPr>
            <w:tcW w:w="1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c/o GenesisPoint LLC</w:t>
            </w:r>
          </w:p>
        </w:tc>
        <w:tc>
          <w:tcPr>
            <w:tcW w:w="10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03"/>
        </w:trPr>
        <w:tc>
          <w:tcPr>
            <w:tcW w:w="2880" w:type="dxa"/>
            <w:vAlign w:val="bottom"/>
          </w:tcPr>
          <w:p>
            <w:pPr>
              <w:jc w:val="center"/>
              <w:spacing w:after="0" w:line="202" w:lineRule="exact"/>
              <w:rPr>
                <w:sz w:val="20"/>
                <w:szCs w:val="20"/>
                <w:color w:val="auto"/>
              </w:rPr>
            </w:pPr>
            <w:r>
              <w:rPr>
                <w:rFonts w:ascii="Arial" w:cs="Arial" w:eastAsia="Arial" w:hAnsi="Arial"/>
                <w:sz w:val="18"/>
                <w:szCs w:val="18"/>
                <w:color w:val="auto"/>
                <w:w w:val="99"/>
              </w:rPr>
              <w:t>(United States)</w:t>
            </w: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Pr>
          <w:p>
            <w:pPr>
              <w:jc w:val="center"/>
              <w:spacing w:after="0" w:line="202" w:lineRule="exact"/>
              <w:rPr>
                <w:sz w:val="20"/>
                <w:szCs w:val="20"/>
                <w:color w:val="auto"/>
              </w:rPr>
            </w:pPr>
            <w:r>
              <w:rPr>
                <w:rFonts w:ascii="Arial" w:cs="Arial" w:eastAsia="Arial" w:hAnsi="Arial"/>
                <w:sz w:val="18"/>
                <w:szCs w:val="18"/>
                <w:color w:val="auto"/>
                <w:w w:val="99"/>
              </w:rPr>
              <w:t>30 Old Kings Highway S</w:t>
            </w:r>
          </w:p>
        </w:tc>
        <w:tc>
          <w:tcPr>
            <w:tcW w:w="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9"/>
              </w:rPr>
              <w:t>Darien, CT 06820</w:t>
            </w: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4"/>
        </w:trPr>
        <w:tc>
          <w:tcPr>
            <w:tcW w:w="2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ind w:left="9860"/>
        <w:spacing w:after="0"/>
        <w:rPr>
          <w:sz w:val="20"/>
          <w:szCs w:val="20"/>
          <w:color w:val="auto"/>
        </w:rPr>
      </w:pPr>
      <w:r>
        <w:rPr>
          <w:rFonts w:ascii="Arial" w:cs="Arial" w:eastAsia="Arial" w:hAnsi="Arial"/>
          <w:sz w:val="22"/>
          <w:szCs w:val="22"/>
          <w:color w:val="auto"/>
        </w:rPr>
        <w:t>EXHIBIT 99.1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AGREEMENT</w:t>
      </w:r>
    </w:p>
    <w:p>
      <w:pPr>
        <w:spacing w:after="0" w:line="12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persons below hereby agree that the Schedule 13D to which this agreement is attached as an exhibit, as well as all future amendments to such Schedule 13D, shall be filed on behalf of each of them. This agreement is intended to satisfy the requirements of Rule 13d-1(k)(1)(iii) under the Securities Exchange Act of 1934.</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Date: June 25, 2026</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PERCEPTIVE ADVISORS LLC</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Edelman</w:t>
      </w:r>
    </w:p>
    <w:p>
      <w:pPr>
        <w:ind w:left="760"/>
        <w:spacing w:after="0" w:line="238" w:lineRule="auto"/>
        <w:tabs>
          <w:tab w:leader="none" w:pos="1620" w:val="left"/>
        </w:tabs>
        <w:rPr>
          <w:sz w:val="20"/>
          <w:szCs w:val="20"/>
          <w:color w:val="auto"/>
        </w:rPr>
      </w:pPr>
      <w:r>
        <w:rPr>
          <w:rFonts w:ascii="Arial" w:cs="Arial" w:eastAsia="Arial" w:hAnsi="Arial"/>
          <w:sz w:val="20"/>
          <w:szCs w:val="20"/>
          <w:color w:val="auto"/>
        </w:rPr>
        <w:t>Name:</w:t>
        <w:tab/>
        <w:t>Joseph Edelman</w:t>
      </w:r>
    </w:p>
    <w:p>
      <w:pPr>
        <w:spacing w:after="0" w:line="1"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Member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Joseph Edelman</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JOSEPH EDELMAN</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color w:val="auto"/>
        </w:rPr>
        <w:t>PERCEPTIVE LIFE SCIENCES MASTER FUND, LTD.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Edelman</w:t>
      </w:r>
    </w:p>
    <w:p>
      <w:pPr>
        <w:ind w:left="760"/>
        <w:spacing w:after="0" w:line="238" w:lineRule="auto"/>
        <w:tabs>
          <w:tab w:leader="none" w:pos="1620" w:val="left"/>
        </w:tabs>
        <w:rPr>
          <w:sz w:val="20"/>
          <w:szCs w:val="20"/>
          <w:color w:val="auto"/>
        </w:rPr>
      </w:pPr>
      <w:r>
        <w:rPr>
          <w:rFonts w:ascii="Arial" w:cs="Arial" w:eastAsia="Arial" w:hAnsi="Arial"/>
          <w:sz w:val="20"/>
          <w:szCs w:val="20"/>
          <w:color w:val="auto"/>
        </w:rPr>
        <w:t>Name:</w:t>
        <w:tab/>
        <w:t>Joseph Edelman</w:t>
      </w:r>
    </w:p>
    <w:p>
      <w:pPr>
        <w:spacing w:after="0" w:line="1"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Member</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PERCEPTIVE CAPITAL SOLUTIONS HOLDINGS LP</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Joseph Edelman</w:t>
      </w:r>
    </w:p>
    <w:p>
      <w:pPr>
        <w:ind w:left="760"/>
        <w:spacing w:after="0" w:line="238" w:lineRule="auto"/>
        <w:tabs>
          <w:tab w:leader="none" w:pos="1620" w:val="left"/>
        </w:tabs>
        <w:rPr>
          <w:sz w:val="20"/>
          <w:szCs w:val="20"/>
          <w:color w:val="auto"/>
        </w:rPr>
      </w:pPr>
      <w:r>
        <w:rPr>
          <w:rFonts w:ascii="Arial" w:cs="Arial" w:eastAsia="Arial" w:hAnsi="Arial"/>
          <w:sz w:val="20"/>
          <w:szCs w:val="20"/>
          <w:color w:val="auto"/>
        </w:rPr>
        <w:t>Name:</w:t>
        <w:tab/>
        <w:t>Joseph Edelman</w:t>
      </w:r>
    </w:p>
    <w:p>
      <w:pPr>
        <w:spacing w:after="0" w:line="1" w:lineRule="exact"/>
        <w:rPr>
          <w:sz w:val="20"/>
          <w:szCs w:val="20"/>
          <w:color w:val="auto"/>
        </w:rPr>
      </w:pPr>
    </w:p>
    <w:p>
      <w:pPr>
        <w:ind w:left="760"/>
        <w:spacing w:after="0"/>
        <w:tabs>
          <w:tab w:leader="none" w:pos="16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3"/>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2026-06-25T15:17:20Z</dcterms:created>
  <dcterms:modified xsi:type="dcterms:W3CDTF">2026-06-25T15:17:20Z</dcterms:modified>
</cp:coreProperties>
</file>