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2123613-20260630.htm"/>
      <w:bookmarkStart w:id="1" w:name="ksck0002123613202606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8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8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_________________ to _________________</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001-43354</w:t>
      </w:r>
    </w:p>
    <w:p>
      <w:pPr>
        <w:pStyle w:val="TextBody"/>
        <w:pBdr>
          <w:bottom w:val="single" w:sz="4" w:space="1" w:color="000000"/>
        </w:pBdr>
        <w:bidi w:val="0"/>
        <w:spacing w:before="4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Kardigan,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663" w:type="dxa"/>
        <w:jc w:val="left"/>
        <w:tblInd w:w="0" w:type="dxa"/>
        <w:tblLayout w:type="fixed"/>
        <w:tblCellMar>
          <w:top w:w="28" w:type="dxa"/>
          <w:left w:w="28" w:type="dxa"/>
          <w:bottom w:w="28" w:type="dxa"/>
          <w:right w:w="28" w:type="dxa"/>
        </w:tblCellMar>
      </w:tblPr>
      <w:tblGrid>
        <w:gridCol w:w="3271"/>
        <w:gridCol w:w="146"/>
        <w:gridCol w:w="124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93-2994203</w:t>
            </w:r>
          </w:p>
        </w:tc>
      </w:tr>
      <w:tr>
        <w:trPr/>
        <w:tc>
          <w:tcPr>
            <w:tcW w:w="32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27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506 Carnegie Center Drive, Suite 201</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Princeton, NJ</w:t>
            </w:r>
          </w:p>
        </w:tc>
        <w:tc>
          <w:tcPr>
            <w:tcW w:w="146" w:type="dxa"/>
            <w:tcBorders/>
            <w:tcMar>
              <w:top w:w="0" w:type="dxa"/>
              <w:left w:w="0" w:type="dxa"/>
              <w:bottom w:w="0" w:type="dxa"/>
              <w:right w:w="0" w:type="dxa"/>
            </w:tcMar>
            <w:vAlign w:val="center"/>
          </w:tcPr>
          <w:p>
            <w:pPr>
              <w:pStyle w:val="TableContents"/>
              <w:bidi w:val="0"/>
              <w:spacing w:before="0" w:after="15"/>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08540</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(415) 573-3220</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3376"/>
        <w:gridCol w:w="146"/>
        <w:gridCol w:w="826"/>
        <w:gridCol w:w="146"/>
        <w:gridCol w:w="33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KARD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Market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As of August 7, 2026, the registrant had 93,503,699</w:t>
      </w:r>
      <w:r>
        <w:rPr>
          <w:rFonts w:ascii="Times New Roman" w:hAnsi="Times New Roman"/>
          <w:color w:val="000000"/>
          <w:sz w:val="20"/>
        </w:rPr>
        <w:t xml:space="preserve"> </w:t>
      </w:r>
      <w:r>
        <w:rPr>
          <w:rFonts w:ascii="Times New Roman" w:hAnsi="Times New Roman"/>
          <w:color w:val="000000"/>
          <w:sz w:val="18"/>
        </w:rPr>
        <w:t>shares of common stock, $0.00001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1"/>
        <w:gridCol w:w="8686"/>
        <w:gridCol w:w="146"/>
        <w:gridCol w:w="512"/>
      </w:tblGrid>
      <w:tr>
        <w:trPr/>
        <w:tc>
          <w:tcPr>
            <w:tcW w:w="86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Page</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pPr>
            <w:r>
              <w:rPr/>
              <w:t> </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PART I.</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 xml:space="preserve">4 </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1.</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balance_sheet">
              <w:r>
                <w:rPr>
                  <w:rStyle w:val="InternetLink"/>
                  <w:rFonts w:ascii="Times New Roman" w:hAnsi="Times New Roman"/>
                  <w:color w:val="0000FF"/>
                  <w:sz w:val="20"/>
                  <w:u w:val="single"/>
                </w:rPr>
                <w:t>Condensed Consolidated Balance Sheets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operations_and_comprehensive_loss">
              <w:r>
                <w:rPr>
                  <w:rStyle w:val="InternetLink"/>
                  <w:rFonts w:ascii="Times New Roman" w:hAnsi="Times New Roman"/>
                  <w:color w:val="0000FF"/>
                  <w:sz w:val="20"/>
                  <w:u w:val="single"/>
                </w:rPr>
                <w:t>Condensed Consolidated Statements of Operations and Comprehensive Loss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stock_and_stockholders">
              <w:r>
                <w:rPr>
                  <w:rStyle w:val="InternetLink"/>
                  <w:rFonts w:ascii="Times New Roman" w:hAnsi="Times New Roman"/>
                  <w:color w:val="0000FF"/>
                  <w:sz w:val="20"/>
                  <w:u w:val="single"/>
                </w:rPr>
                <w:t>Condensed Consolidated Statements of Redeemable Convertible Preferred Stock and Stockholders’ Equity (Deficit)</w:t>
              </w:r>
            </w:hyperlink>
            <w:hyperlink w:anchor="stock_and_stockholders">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6</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cash_flows">
              <w:r>
                <w:rPr>
                  <w:rStyle w:val="InternetLink"/>
                  <w:rFonts w:ascii="Times New Roman" w:hAnsi="Times New Roman"/>
                  <w:color w:val="0000FF"/>
                  <w:sz w:val="20"/>
                  <w:u w:val="single"/>
                </w:rPr>
                <w:t>Condensed Consolidated Statements of Cash Flows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notes">
              <w:r>
                <w:rPr>
                  <w:rStyle w:val="InternetLink"/>
                  <w:rFonts w:ascii="Times New Roman" w:hAnsi="Times New Roman"/>
                  <w:color w:val="0000FF"/>
                  <w:sz w:val="20"/>
                  <w:u w:val="single"/>
                </w:rPr>
                <w:t>Notes to Condensed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8</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2.</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41</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3.</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55</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4.</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55</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PART II.</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part_ii_othe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57</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1.</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57</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1A.</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1a_risk_factors">
              <w:r>
                <w:rPr>
                  <w:rStyle w:val="InternetLink"/>
                  <w:rFonts w:ascii="Times New Roman" w:hAnsi="Times New Roman"/>
                  <w:color w:val="0000FF"/>
                  <w:sz w:val="20"/>
                  <w:u w:val="single"/>
                </w:rPr>
                <w:t>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58</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2.</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132</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3.</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133</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4.</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133</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5.</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133</w:t>
            </w:r>
          </w:p>
        </w:tc>
      </w:tr>
      <w:tr>
        <w:trPr/>
        <w:tc>
          <w:tcPr>
            <w:tcW w:w="86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6.</w:t>
            </w:r>
          </w:p>
        </w:tc>
        <w:tc>
          <w:tcPr>
            <w:tcW w:w="8686"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6_exhibits">
              <w:r>
                <w:rPr>
                  <w:rStyle w:val="InternetLink"/>
                  <w:rFonts w:ascii="Times New Roman" w:hAnsi="Times New Roman"/>
                  <w:color w:val="0000FF"/>
                  <w:sz w:val="20"/>
                  <w:u w:val="single"/>
                </w:rPr>
                <w:t>Exhibits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133</w:t>
            </w:r>
          </w:p>
        </w:tc>
      </w:tr>
      <w:tr>
        <w:trPr/>
        <w:tc>
          <w:tcPr>
            <w:tcW w:w="9547" w:type="dxa"/>
            <w:gridSpan w:val="2"/>
            <w:tcBorders/>
            <w:shd w:fill="FFFFFF" w:val="clear"/>
            <w:tcMar>
              <w:top w:w="0" w:type="dxa"/>
              <w:left w:w="0" w:type="dxa"/>
              <w:bottom w:w="0" w:type="dxa"/>
              <w:right w:w="0" w:type="dxa"/>
            </w:tcMar>
            <w:vAlign w:val="center"/>
          </w:tcPr>
          <w:p>
            <w:pPr>
              <w:pStyle w:val="TableContents"/>
              <w:bidi w:val="0"/>
              <w:spacing w:before="40" w:after="283"/>
              <w:jc w:val="left"/>
              <w:rPr/>
            </w:pPr>
            <w:hyperlink w:anchor="signatures">
              <w:r>
                <w:rPr>
                  <w:rStyle w:val="InternetLink"/>
                  <w:rFonts w:ascii="Times New Roman" w:hAnsi="Times New Roman"/>
                  <w:color w:val="0000FF"/>
                  <w:sz w:val="20"/>
                  <w:u w:val="single"/>
                </w:rPr>
                <w:t>Signatures</w:t>
              </w:r>
            </w:hyperlink>
          </w:p>
        </w:tc>
        <w:tc>
          <w:tcPr>
            <w:tcW w:w="146" w:type="dxa"/>
            <w:tcBorders/>
            <w:shd w:fill="FFFFFF" w:val="clear"/>
            <w:tcMar>
              <w:top w:w="0" w:type="dxa"/>
              <w:left w:w="0" w:type="dxa"/>
              <w:bottom w:w="0" w:type="dxa"/>
              <w:right w:w="0" w:type="dxa"/>
            </w:tcMar>
            <w:vAlign w:val="center"/>
          </w:tcPr>
          <w:p>
            <w:pPr>
              <w:pStyle w:val="TableContents"/>
              <w:bidi w:val="0"/>
              <w:spacing w:before="4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135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(“Quarterly Report”), of Kardigan, Inc.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timing of release of topline data from the ongoing Phase 2b Cohort 1 trial of Danicamtiv KINSHIP-DCM, the ongoing Phase 2b clinical trial of KATALYST-AV, and the ongoing KARDINAL-ASH Phase 2 clinical trial;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clinical trials to demonstrate safety and efficacy of our product candidates, and other positive results, and the ability of our preclinical studies to predict later clinical trial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scope and likelihood of regulatory filings and approvals of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deploy and develop our Prolaio platform;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programs, and current and future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obtain additional financing and the sufficiency of our existing cash, cash equivalents and investments to fund our future operating expenses and capital expenditure requirements;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needs for additional financing;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size and growth potential of the markets for our product candidates, and our ability to serve those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potential and ability to successfully manufacture and supply our current and future product candidates for clinical trials and for commercial use, if approved;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developments relating to our competitors and our industry, including competing product candidates and therapies;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existing regulations and regulatory developments in the U.S. and other jurisdictions;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expectations regarding future events under collaboration and licensing agreements, including potential future payments, as well as our plans and strategies for entering into further collaboration and licensing agreements;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general economic, industry and market conditions, including fluctuating interest rates and rising inflation;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attract and retain the continued service of our key personnel and to identify, hire and retain additional qualified personnel;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the period during which we will qualify as an emerging growth company under the JOBS 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expectations regarding expenses and financial results, including our expected cash runway and financial</w:t>
        <w:br/>
        <w:t>performance;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anticipated use of our existing cash, cash equivalents and investments, including the proceeds from</w:t>
        <w:br/>
        <w:t>our initial public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forward-looking statements are based on information available to us at the time of this Quarterly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Factors that could cause actual results to differ include, but are not limited to, those discussed in the section titled “Risk Factors” included within this Quarterly Report on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business is subject to numerous risks and uncertainties, which include, but are not limited to,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 clinical-stage biopharmaceutical company with a limited operating history, which may make it difficult to evaluate our current business and predict our future success and viability.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incurred significant financial losses since our inception and anticipate that we will continue to incur significant financial losses for the foreseeable future.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will require substantial additional capital in order to finance our operations. If we are unable to raise such capital when needed, or on acceptable terms, we could be forced to delay, reduce or eliminate our product development programs or commercialization efforts.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business is highly dependent on the success of our product candidates, particularly Danicamtiv for genetic DCM, Ataciguat for moderate CAVS, and Tonlamarsen for post-hospitalization management of ASH.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are unable to successfully complete clinical development, obtain regulatory approval for or commercialize one or more of our product candidates, or if we experience delays in doing so, our business will be materially harmed.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successful development of pharmaceutical products involves a lengthy and expensive process and is highly uncertain.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may experience challenges with the acquisition, development, enhancement or deployment of technology necessary for our Prolaio platform.</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regulatory approval processes of the FDA, the European Medicines Agency (“EMA”), and other comparable regulatory authorities are lengthy, time-consuming and inherently unpredictable. If we are ultimately unable to obtain regulatory approval for our product candidates, our business will be substantially harmed.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are dependent on third parties having accurately generated, collected, interpreted and reported data from certain preclinical studies and clinical trials that were previously conducted for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use of the Prolaio platform to enhance clinical trial design and execution is a novel approach that may not result in anticipated efficiencies or regulatory acceptance, which exposes us to unforeseen risks and makes it difficult for us to predict the time and cost of product development.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concentrated our research and development efforts on the treatment of cardiovascular diseases, a field that faces certain challenges in drug development.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number of patients with certain cardiovascular diseases for which we are developing our product candidates has not been established with precision. If the actual number of patients with the diseases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we fail to comply with our obligations in the agreements under which we license intellectual property rights from third parties or otherwise experience disruptions to our business relationships with our licensors, or if any of our material license agreements are terminated, we could lose our rights to key intellectual property and components enabling our technologies.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success depends upon our ability to obtain and protect our intellectual property and proprietary information. If we or our licensors are unable to obtain, maintain, defend and enforce patent or other intellectual property protection for any of our current or future product candidates or platform technologies, or if the scope of the patent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intellectual property protection obtained is not sufficiently broad or if our intellectual property protection is not sufficiently broad or enforceable, third parties could develop and commercialize products and technology similar or identical to ours, and our ability to successfully commercialize any of our current or future product candidates and platform technologies may be adversely affected.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 active trading market for our common stock may not be sustained.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price of our common stock may be volatile and fluctuate substantially, which could result in substantial losses for investors.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full risk factors in the section titled “Risk Factors” and the other information set forth in this Quarterly Report, including our consolidated financial statements and related notes, as well as in other documents that we file with the Securities and Exchange Commission (“SEC”). The risks summarized above or described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spacing w:before="200" w:after="283"/>
        <w:jc w:val="center"/>
        <w:rPr>
          <w:rFonts w:ascii="Times New Roman" w:hAnsi="Times New Roman"/>
          <w:sz w:val="20"/>
        </w:rPr>
      </w:pPr>
      <w:r>
        <w:rPr>
          <w:rFonts w:ascii="Times New Roman" w:hAnsi="Times New Roman"/>
          <w:b/>
          <w:color w:val="000000"/>
          <w:sz w:val="20"/>
        </w:rPr>
        <w:t>Kardigan,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37"/>
        <w:gridCol w:w="146"/>
        <w:gridCol w:w="196"/>
        <w:gridCol w:w="826"/>
        <w:gridCol w:w="166"/>
        <w:gridCol w:w="146"/>
        <w:gridCol w:w="201"/>
        <w:gridCol w:w="774"/>
        <w:gridCol w:w="613"/>
      </w:tblGrid>
      <w:tr>
        <w:trPr/>
        <w:tc>
          <w:tcPr>
            <w:tcW w:w="7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226,496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345,353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390,942</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23,903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Contingent milestone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37,536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Contingent milestone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55,127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Redeemable convertible preferred stock, par value of $0.00001</w:t>
            </w:r>
            <w:r>
              <w:rPr>
                <w:rFonts w:ascii="Times New Roman" w:hAnsi="Times New Roman"/>
                <w:color w:val="000000"/>
                <w:sz w:val="20"/>
              </w:rPr>
              <w:t> </w:t>
            </w:r>
            <w:r>
              <w:rPr>
                <w:rFonts w:ascii="Times New Roman" w:hAnsi="Times New Roman"/>
                <w:color w:val="000000"/>
                <w:sz w:val="18"/>
              </w:rPr>
              <w:t>per share; zero</w:t>
            </w:r>
            <w:r>
              <w:rPr>
                <w:rFonts w:ascii="Times New Roman" w:hAnsi="Times New Roman"/>
                <w:color w:val="000000"/>
                <w:sz w:val="20"/>
              </w:rPr>
              <w:t> </w:t>
            </w:r>
            <w:r>
              <w:rPr>
                <w:rFonts w:ascii="Times New Roman" w:hAnsi="Times New Roman"/>
                <w:color w:val="000000"/>
                <w:sz w:val="18"/>
              </w:rPr>
              <w:t>shares and 29,519,423</w:t>
            </w:r>
            <w:r>
              <w:rPr>
                <w:rFonts w:ascii="Times New Roman" w:hAnsi="Times New Roman"/>
                <w:color w:val="000000"/>
                <w:sz w:val="20"/>
              </w:rPr>
              <w:t> </w:t>
            </w:r>
            <w:r>
              <w:rPr>
                <w:rFonts w:ascii="Times New Roman" w:hAnsi="Times New Roman"/>
                <w:color w:val="000000"/>
                <w:sz w:val="18"/>
              </w:rPr>
              <w:t>shares authorized as of June 30, 2026 and December 31, 2025, respectively; zero</w:t>
            </w:r>
            <w:r>
              <w:rPr>
                <w:rFonts w:ascii="Times New Roman" w:hAnsi="Times New Roman"/>
                <w:color w:val="000000"/>
                <w:sz w:val="20"/>
              </w:rPr>
              <w:t> </w:t>
            </w:r>
            <w:r>
              <w:rPr>
                <w:rFonts w:ascii="Times New Roman" w:hAnsi="Times New Roman"/>
                <w:color w:val="000000"/>
                <w:sz w:val="18"/>
              </w:rPr>
              <w:t>shares and 29,519,423</w:t>
            </w:r>
            <w:r>
              <w:rPr>
                <w:rFonts w:ascii="Times New Roman" w:hAnsi="Times New Roman"/>
                <w:color w:val="000000"/>
                <w:sz w:val="20"/>
              </w:rPr>
              <w:t> </w:t>
            </w:r>
            <w:r>
              <w:rPr>
                <w:rFonts w:ascii="Times New Roman" w:hAnsi="Times New Roman"/>
                <w:color w:val="000000"/>
                <w:sz w:val="18"/>
              </w:rPr>
              <w:t>shares issued and outstanding as of June 30, 2026 and December 31, 2025, respectively; aggregate liquidation preference of zero</w:t>
            </w:r>
            <w:r>
              <w:rPr>
                <w:rFonts w:ascii="Times New Roman" w:hAnsi="Times New Roman"/>
                <w:color w:val="000000"/>
                <w:sz w:val="20"/>
              </w:rPr>
              <w:t> </w:t>
            </w:r>
            <w:r>
              <w:rPr>
                <w:rFonts w:ascii="Times New Roman" w:hAnsi="Times New Roman"/>
                <w:color w:val="000000"/>
                <w:sz w:val="18"/>
              </w:rPr>
              <w:t>and $597,168</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586,150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par value of $0.00001</w:t>
            </w:r>
            <w:r>
              <w:rPr>
                <w:rFonts w:ascii="Times New Roman" w:hAnsi="Times New Roman"/>
                <w:color w:val="000000"/>
                <w:sz w:val="20"/>
              </w:rPr>
              <w:t> </w:t>
            </w:r>
            <w:r>
              <w:rPr>
                <w:rFonts w:ascii="Times New Roman" w:hAnsi="Times New Roman"/>
                <w:color w:val="000000"/>
                <w:sz w:val="18"/>
              </w:rPr>
              <w:t>per share; 10,000,000</w:t>
            </w:r>
            <w:r>
              <w:rPr>
                <w:rFonts w:ascii="Times New Roman" w:hAnsi="Times New Roman"/>
                <w:color w:val="000000"/>
                <w:sz w:val="20"/>
              </w:rPr>
              <w:t> </w:t>
            </w:r>
            <w:r>
              <w:rPr>
                <w:rFonts w:ascii="Times New Roman" w:hAnsi="Times New Roman"/>
                <w:color w:val="000000"/>
                <w:sz w:val="18"/>
              </w:rPr>
              <w:t>shares and zero</w:t>
            </w:r>
            <w:r>
              <w:rPr>
                <w:rFonts w:ascii="Times New Roman" w:hAnsi="Times New Roman"/>
                <w:color w:val="000000"/>
                <w:sz w:val="20"/>
              </w:rPr>
              <w:t> </w:t>
            </w:r>
            <w:r>
              <w:rPr>
                <w:rFonts w:ascii="Times New Roman" w:hAnsi="Times New Roman"/>
                <w:color w:val="000000"/>
                <w:sz w:val="18"/>
              </w:rPr>
              <w:t>shares authorized as of June 30, 2026 and December 31, 2025, respectively; zero</w:t>
            </w:r>
            <w:r>
              <w:rPr>
                <w:rFonts w:ascii="Times New Roman" w:hAnsi="Times New Roman"/>
                <w:color w:val="000000"/>
                <w:sz w:val="20"/>
              </w:rPr>
              <w:t> </w:t>
            </w:r>
            <w:r>
              <w:rPr>
                <w:rFonts w:ascii="Times New Roman" w:hAnsi="Times New Roman"/>
                <w:color w:val="000000"/>
                <w:sz w:val="18"/>
              </w:rPr>
              <w:t>shares and zero</w:t>
            </w:r>
            <w:r>
              <w:rPr>
                <w:rFonts w:ascii="Times New Roman" w:hAnsi="Times New Roman"/>
                <w:color w:val="000000"/>
                <w:sz w:val="20"/>
              </w:rPr>
              <w:t> </w:t>
            </w:r>
            <w:r>
              <w:rPr>
                <w:rFonts w:ascii="Times New Roman" w:hAnsi="Times New Roman"/>
                <w:color w:val="000000"/>
                <w:sz w:val="18"/>
              </w:rPr>
              <w:t>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par value of $0.00001</w:t>
            </w:r>
            <w:r>
              <w:rPr>
                <w:rFonts w:ascii="Times New Roman" w:hAnsi="Times New Roman"/>
                <w:color w:val="000000"/>
                <w:sz w:val="20"/>
              </w:rPr>
              <w:t> </w:t>
            </w:r>
            <w:r>
              <w:rPr>
                <w:rFonts w:ascii="Times New Roman" w:hAnsi="Times New Roman"/>
                <w:color w:val="000000"/>
                <w:sz w:val="18"/>
              </w:rPr>
              <w:t>per share; 700,000,000</w:t>
            </w:r>
            <w:r>
              <w:rPr>
                <w:rFonts w:ascii="Times New Roman" w:hAnsi="Times New Roman"/>
                <w:color w:val="000000"/>
                <w:sz w:val="20"/>
              </w:rPr>
              <w:t> </w:t>
            </w:r>
            <w:r>
              <w:rPr>
                <w:rFonts w:ascii="Times New Roman" w:hAnsi="Times New Roman"/>
                <w:color w:val="000000"/>
                <w:sz w:val="18"/>
              </w:rPr>
              <w:t>shares and 53,365,000</w:t>
            </w:r>
            <w:r>
              <w:rPr>
                <w:rFonts w:ascii="Times New Roman" w:hAnsi="Times New Roman"/>
                <w:color w:val="000000"/>
                <w:sz w:val="20"/>
              </w:rPr>
              <w:t> </w:t>
            </w:r>
            <w:r>
              <w:rPr>
                <w:rFonts w:ascii="Times New Roman" w:hAnsi="Times New Roman"/>
                <w:color w:val="000000"/>
                <w:sz w:val="18"/>
              </w:rPr>
              <w:t>shares authorized as of June 30, 2026, and December 31, 2025, respectively; 93,467,940</w:t>
            </w:r>
            <w:r>
              <w:rPr>
                <w:rFonts w:ascii="Times New Roman" w:hAnsi="Times New Roman"/>
                <w:color w:val="000000"/>
                <w:sz w:val="20"/>
              </w:rPr>
              <w:t> </w:t>
            </w:r>
            <w:r>
              <w:rPr>
                <w:rFonts w:ascii="Times New Roman" w:hAnsi="Times New Roman"/>
                <w:color w:val="000000"/>
                <w:sz w:val="18"/>
              </w:rPr>
              <w:t>shares and 16,351,102</w:t>
            </w:r>
            <w:r>
              <w:rPr>
                <w:rFonts w:ascii="Times New Roman" w:hAnsi="Times New Roman"/>
                <w:color w:val="000000"/>
                <w:sz w:val="20"/>
              </w:rPr>
              <w:t> </w:t>
            </w:r>
            <w:r>
              <w:rPr>
                <w:rFonts w:ascii="Times New Roman" w:hAnsi="Times New Roman"/>
                <w:color w:val="000000"/>
                <w:sz w:val="18"/>
              </w:rPr>
              <w:t>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(281,089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(250,335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1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redeemable convertible preferred stock and stockholders’</w:t>
              <w:br/>
              <w:t>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390,942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5"/>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Kardigan,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operations_and_comprehensive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milestone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preferred stock tranche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used in</w:t>
              <w:br/>
              <w:t>   calculating net loss per share attributable to common</w:t>
              <w:br/>
              <w:t>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25,196,212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12,380,388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12,043,978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5"/>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Kardigan,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ock_and_stockholders"/>
      <w:bookmarkEnd w:id="6"/>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redeemable convertible preferred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349" w:type="dxa"/>
        <w:jc w:val="left"/>
        <w:tblInd w:w="0" w:type="dxa"/>
        <w:tblLayout w:type="fixed"/>
        <w:tblCellMar>
          <w:top w:w="28" w:type="dxa"/>
          <w:left w:w="28" w:type="dxa"/>
          <w:bottom w:w="28" w:type="dxa"/>
          <w:right w:w="28" w:type="dxa"/>
        </w:tblCellMar>
      </w:tblPr>
      <w:tblGrid>
        <w:gridCol w:w="991"/>
        <w:gridCol w:w="146"/>
        <w:gridCol w:w="146"/>
        <w:gridCol w:w="811"/>
        <w:gridCol w:w="151"/>
        <w:gridCol w:w="146"/>
        <w:gridCol w:w="181"/>
        <w:gridCol w:w="631"/>
        <w:gridCol w:w="151"/>
        <w:gridCol w:w="146"/>
        <w:gridCol w:w="146"/>
        <w:gridCol w:w="766"/>
        <w:gridCol w:w="146"/>
        <w:gridCol w:w="146"/>
        <w:gridCol w:w="196"/>
        <w:gridCol w:w="375"/>
        <w:gridCol w:w="146"/>
        <w:gridCol w:w="146"/>
        <w:gridCol w:w="181"/>
        <w:gridCol w:w="691"/>
        <w:gridCol w:w="151"/>
        <w:gridCol w:w="146"/>
        <w:gridCol w:w="331"/>
        <w:gridCol w:w="690"/>
        <w:gridCol w:w="151"/>
        <w:gridCol w:w="146"/>
        <w:gridCol w:w="194"/>
        <w:gridCol w:w="677"/>
        <w:gridCol w:w="151"/>
        <w:gridCol w:w="146"/>
        <w:gridCol w:w="207"/>
        <w:gridCol w:w="724"/>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 Equity</w:t>
              <w:br/>
              <w:t>(Deficit)</w:t>
            </w:r>
          </w:p>
        </w:tc>
        <w:tc>
          <w:tcPr>
            <w:tcW w:w="19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29,519,423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586,150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16,351,102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(281,089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(250,335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468,053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as consideration for acquired in-process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(56,071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29,987,476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597,547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16,575,097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(337,160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(300,626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redeemable convertible preferred stock to common stock upon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(29,987,476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(597,547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47,764,024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597,546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597,547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common stock from initial public offering, net of issuance costs of $5.4</w:t>
            </w:r>
            <w:r>
              <w:rPr>
                <w:rFonts w:ascii="Times New Roman" w:hAnsi="Times New Roman"/>
                <w:color w:val="000000"/>
                <w:sz w:val="20"/>
              </w:rPr>
              <w:t> </w:t>
            </w:r>
            <w:r>
              <w:rPr>
                <w:rFonts w:ascii="Times New Roman" w:hAnsi="Times New Roman"/>
                <w:color w:val="000000"/>
                <w:sz w:val="14"/>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422,422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422,422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early-exercised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vesting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repurchased for tax withholdings 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93,467,940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1,069,152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(453,396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615,522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1"/>
        <w:gridCol w:w="146"/>
        <w:gridCol w:w="146"/>
        <w:gridCol w:w="766"/>
        <w:gridCol w:w="146"/>
        <w:gridCol w:w="146"/>
        <w:gridCol w:w="181"/>
        <w:gridCol w:w="586"/>
        <w:gridCol w:w="146"/>
        <w:gridCol w:w="146"/>
        <w:gridCol w:w="146"/>
        <w:gridCol w:w="766"/>
        <w:gridCol w:w="146"/>
        <w:gridCol w:w="146"/>
        <w:gridCol w:w="196"/>
        <w:gridCol w:w="375"/>
        <w:gridCol w:w="146"/>
        <w:gridCol w:w="146"/>
        <w:gridCol w:w="196"/>
        <w:gridCol w:w="555"/>
        <w:gridCol w:w="146"/>
        <w:gridCol w:w="146"/>
        <w:gridCol w:w="350"/>
        <w:gridCol w:w="671"/>
        <w:gridCol w:w="146"/>
        <w:gridCol w:w="146"/>
        <w:gridCol w:w="194"/>
        <w:gridCol w:w="677"/>
        <w:gridCol w:w="151"/>
        <w:gridCol w:w="146"/>
        <w:gridCol w:w="210"/>
        <w:gridCol w:w="736"/>
        <w:gridCol w:w="198"/>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 Equity</w:t>
              <w:br/>
              <w:t>(Deficit)</w:t>
            </w:r>
          </w:p>
        </w:tc>
        <w:tc>
          <w:tcPr>
            <w:tcW w:w="198"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5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8"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6,959,334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16,103,207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(89,148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(83,194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Series A Preferred Stock upon settlement of tranche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5,148,587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(18,019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12,107,921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16,103,207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(107,167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(98,275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(57,445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12,107,921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16,169,512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(164,612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(151,309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5"/>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Kardigan,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ash_flows"/>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871" w:type="dxa"/>
        <w:jc w:val="left"/>
        <w:tblInd w:w="0" w:type="dxa"/>
        <w:tblLayout w:type="fixed"/>
        <w:tblCellMar>
          <w:top w:w="28" w:type="dxa"/>
          <w:left w:w="28" w:type="dxa"/>
          <w:bottom w:w="28" w:type="dxa"/>
          <w:right w:w="28" w:type="dxa"/>
        </w:tblCellMar>
      </w:tblPr>
      <w:tblGrid>
        <w:gridCol w:w="6196"/>
        <w:gridCol w:w="146"/>
        <w:gridCol w:w="183"/>
        <w:gridCol w:w="656"/>
        <w:gridCol w:w="153"/>
        <w:gridCol w:w="148"/>
        <w:gridCol w:w="183"/>
        <w:gridCol w:w="610"/>
        <w:gridCol w:w="596"/>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(172,307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(75,464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17,053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Integration bonus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14,360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premiums and accretion of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 in fair value of preferred stock tranche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 in fair value of contingent milestone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43,529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Acquired intellectual property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1,078</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non-cash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7,620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(107,327</w:t>
            </w:r>
          </w:p>
        </w:tc>
        <w:tc>
          <w:tcPr>
            <w:tcW w:w="1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(52,775</w:t>
            </w:r>
          </w:p>
        </w:tc>
        <w:tc>
          <w:tcPr>
            <w:tcW w:w="5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185,226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(235,218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Acquisition of Prolaio,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(3,961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(54,892</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(6,563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preferred stock, net of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upon IPO, net of underwriting discounts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427,800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437,235</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100,184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275,016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40,846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109,529</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49,815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384,545</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90,661</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384,005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90,121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5"/>
              </w:rPr>
            </w:pPr>
            <w:r>
              <w:rPr>
                <w:rFonts w:ascii="Times New Roman" w:hAnsi="Times New Roman"/>
                <w:color w:val="000000"/>
                <w:sz w:val="15"/>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384,545</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90,661</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Right-of-use asset obtained in exchange for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Purchases of property and equipment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Conversion of redeemable convertible preferred stock to common stock upon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597,547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IPO offering costs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Issuance of preferred stock as consideration for intellectual property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Settlement of preferred stock tranche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Vesting of early-exercised stock options and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5"/>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Kardigan, Inc.</w:t>
      </w:r>
    </w:p>
    <w:p>
      <w:pPr>
        <w:pStyle w:val="TextBody"/>
        <w:bidi w:val="0"/>
        <w:jc w:val="center"/>
        <w:rPr>
          <w:rFonts w:ascii="Times New Roman" w:hAnsi="Times New Roman"/>
          <w:sz w:val="20"/>
        </w:rPr>
      </w:pPr>
      <w:bookmarkStart w:id="8" w:name="note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Kardigan, Inc. (the “Company”) is a clinical-stage precision therapeutics company developing medicines that target the root cause of specific cardiovascular diseases where no approved treatments exist. The Company’s mission is to develop multiple targeted cardiovascular treatments in parallel that bring people with cardiovascular diseases closer to the cures they deserve. The Company was incorporated in Delaware in August 2023 under the name EnCarda, Inc., and changed its name to Kardigan, Inc. in December 2024. The Company is headquartered in Princeton, New Jersey.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split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9, 2026 the Company effected a 1.5928-for-1 forward stock split of its issued and outstanding shares of common stock, which also resulted in a proportional adjustment to the existing conversion ratios for each series of its redeemable convertible preferred stock, and to the exercise prices and number of outstanding stock options and warrants. Accordingly, all shares of common stock, stock options, warrants, and per share information presented in the accompanying financial statements and notes thereto have been retroactively adjusted, where applicable, to reflect the stock split for all periods presented. The per share par value and authorized numbers of shares of the common stock and redeemable convertible preferred stock were not adjusted as a result of the stock split.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22, 2026, the Company completed its initial public offering (“IPO”) and issued 28,750,000 shares of common stock, including 3,750,000 shares pursuant to the full exercise of the underwriters’ option to purchase additional shares, at a price of $16.00 per share. In connection with the IPO, the Company received net proceeds of $422.4 million, after deducting $32.2 million in underwriting discounts and commissions, and $5.4 million in other offering costs. Immediately prior to the closing of the IPO, all shares of the Company’s outstanding redeemable convertible preferred stock automatically converted into 47,764,024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closing of the IPO, the Company’s certificate of incorporation was amended and restated to authorize 500,000,000 shares of voting common stock, par value $0.00001 per share, 200,000,000 shares of non-voting common stock, par value $0.00001 per share and 10,000,000 shares of preferred stock, par value of $0.00001 per share.</w:t>
      </w:r>
    </w:p>
    <w:p>
      <w:pPr>
        <w:pStyle w:val="TextBody"/>
        <w:bidi w:val="0"/>
        <w:spacing w:before="12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limited operating history and has incurred significant net losses and negative cash flows from operations since inception. As of June 30, 2026, the Company had an accumulated deficit of $453.4 million and expects to continue incurring substantial losses for the foreseeable future as it advances its research and development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the Company has financed its operations principally through the issuance and sale of redeemable convertible preferred stock and, most recently, through the proceeds from the IPO. The Company may seek to raise additional capital in the future through equity or debt financings, license agreements, or other sources of financing, although there can be no assurance that such financing will be available on terms acceptable to the Company, or at all. Even if the Company is able to acquire additional financing, the financial terms may not be satisfactory or sufficient to support its operations. Failure to generate sufficient cash flows from operations, upon approval and commercialization of one of its product candidates, if ever, raise additional capital, and reduce discretionary spending, should additional capital not become available, could have a material adverse effect on the Company’s ability to achieve its intended business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the Company's audited financial statements for the year ended December 31, 2025, included in the Company's final prospectus dated June 17, 2026, filed with the Securities and Exchange Commission pursuant to Rule 424(b) under the Securities Act of 1933, as amended, the Company previously concluded that recurring losses, negative cash flows from operations, and limited liquidity raised substantial doubt about its ability to continue as a going concern. In June 2026, the Company completed its IPO and received net proceeds of approximately $422.4 million. Upon closing of the IPO and receipt of the associated net proceeds, the Company alleviated the substantial doubt that previously existed. As of June 30, 2026, the Company’s cash, cash equivalents and investments totaled $660.7 million, which the Company expects will be sufficient to fund the Company’s operations for at least twelve months from the issuance date of these unaudited condensed consolidated financial statements.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conformity with U.S. generally accepted accounting principles (“GAAP”). Any reference in these notes to applicable guidance refers to the authoritative pronouncements contained in the Accounting Standards Codification (“ASC”) and Accounting Standards Updates (“ASUs”) of the Financial Accounting Standards Board (“FASB”). </w:t>
      </w:r>
    </w:p>
    <w:p>
      <w:pPr>
        <w:pStyle w:val="TextBody"/>
        <w:bidi w:val="0"/>
        <w:spacing w:before="240" w:after="283"/>
        <w:jc w:val="left"/>
        <w:rPr>
          <w:rFonts w:ascii="Times New Roman" w:hAnsi="Times New Roman"/>
          <w:sz w:val="20"/>
        </w:rPr>
      </w:pPr>
      <w:r>
        <w:rPr>
          <w:rFonts w:ascii="Times New Roman" w:hAnsi="Times New Roman"/>
          <w:color w:val="000000"/>
          <w:sz w:val="20"/>
        </w:rPr>
        <w:t>The condensed consolidated financial statements include the accounts of Kardigan, Inc. and its wholly owned subsidiaries, Rancho Santa Fe Bio, Inc. (“RSF”) and Prolaio, Inc. (“Prolaio”), which were acquired in June 2024 and February 2025, respectively. Refer to Note 5, “</w:t>
      </w:r>
      <w:r>
        <w:rPr>
          <w:rFonts w:ascii="Times New Roman" w:hAnsi="Times New Roman"/>
          <w:i/>
          <w:color w:val="000000"/>
          <w:sz w:val="20"/>
        </w:rPr>
        <w:t>Acquisitions and Licensing Agreements</w:t>
      </w:r>
      <w:r>
        <w:rPr>
          <w:rFonts w:ascii="Times New Roman" w:hAnsi="Times New Roman"/>
          <w:color w:val="000000"/>
          <w:sz w:val="20"/>
        </w:rPr>
        <w:t xml:space="preserve">”. All intercompany balances and transactions have been eliminated upon consolidation. </w:t>
      </w:r>
    </w:p>
    <w:p>
      <w:pPr>
        <w:pStyle w:val="TextBody"/>
        <w:bidi w:val="0"/>
        <w:spacing w:before="36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interim condensed consolidated financial statements have been prepared on the same basis as the Company's audited consolidated financial statements and, in the opinion of management, include all adjustments, consisting solely of normal recurring adjustments, considered necessary for a fair statement of the Company’s financial position as of June 30, 2026, and its results of operations and cash flows for the three and six months ended June 30, 2026 and 2025. The results of operations for the three and six months ended June 30, 2026 are not necessarily indicative of results to be expected for the full year ending December 31, 2026 or any other subsequent period. The condensed consolidated balance sheet as of December 31, 2025 was derived from the audited consolidated financial statements but does not include all disclosures required by U.S. GAAP. Certain information and footnote disclosures normally included in consolidated financial statements prepared in accordance with U.S. GAAP have been condensed or omitted pursuant to the rules and regulations of the Securities and Exchange Commission. Accordingly, these interim condensed consolidated financial statements should be read in conjunction with the audited consolidated financial statements and the related notes thereto as of and for the year ended December 31, 2025, included in our final prospectus dated June 17, 2026 filed with the Securities and Exchange Commission pursuant to Rule 424(b) under the Securities Act of 1933, as amended.</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GAAP requires management to make estimates and assumptions that affect the amounts reported in the condensed consolidated financial statements and accompanying notes. The Company bases its estimates on historical experience and various other assumptions believed to be reasonable under the circumstances. Significant estimates and assumptions include, but are not limited to: the fair value of common stock prior to the Company's initial public offering, the fair value of common stock warrants, the fair value of preferred stock tranche obligations, purchase price allocations for acquisitions, the fair value of contingent milestone liabilities, the valuation of stock-based awards, the assessment of useful life and recoverability of long-lived assets, the estimated incremental borrowing rate used in operating lease calculations, the accrual of research and development costs, and the valuation allowance for deferred tax assets. Actual results could differ from those estimates and assumptions, and such differences could be material to the Company’s financial position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a single operating and reportable segment, focused on the discovery and development of novel therapeutic products to treat cardiovascular disease. The Company’s Chief Executive Officer, who serves as the Chief Operating Decision Maker (“CODM”), reviews condensed consolidated financial information based on net income, for purposes of making operating decisions, allocating resources and assessing financial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economic and business activities continue to face widespread macroeconomic uncertainties, including the potential for health epidemics, labor shortages, bank failures, inflation and monetary supply shifts, tariffs, changes in interest rates,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predicted; however, any continued or renewed disruption resulting from these factors could negatively impact the Company’s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future results of operations involve a number of risks and uncertainties common to clinical stage companies in the biotechnology industry. The Company’s product candidates are in development and the Company operates in an environment of rapid technological change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market competition, securing and protecting proprietary technology, the ability to obtain and maintain intellectual property protection, strategic relationships and dependence on key individuals and vendors.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Products developed by the Company require approvals from the U.S. Food and Drug Administration (the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expects to incur substantial operating losses for the foreseeable future and will require additional financing to complete its clinical trials, perform other research and development activities, and further develop its Prolaio technology platform, and, if regulatory approval is obtained, to launch and commercialize its product candidates. There can be no assurance that such financing will be available when needed or will be on terms acceptable to the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 and of significant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principally of cash, cash equivalents and investments. The Company maintains its cash, cash equivalents and investments, which at times exceed insurance limits, at major financial institutions. The Company is exposed to credit risk in the event of default by the financial institution holding its cash to the extent recorded in the condensed consolidated balance sheets. The Company has not experienced any credit losses in such accounts and does not believe it is exposed to any unusual credit risk beyond the normal credit risk associated with commercial banking relationships. The Company’s investment policy limits investments to high credit quality securities issued by the U.S. government, U.S. government-sponsored agencies, highly rated banks, and corporate issuers, subject to certain concentration limits and restrictions on maturities.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dependent on third-party contract manufacturing organizations (“CMOs”) to supply drug substance and drug product for all of the Company’s product candidates, for use in the preclinical studies, clinical trials and related testing. The Company currently relies, and expects to continue to rely, on a limited number of qualified manufacturers for these activities. The progress and completion of the ongoing and planned preclinical studies and clinical trials could be adversely affected by a significant interruption in the supply. </w:t>
      </w:r>
    </w:p>
    <w:p>
      <w:pPr>
        <w:pStyle w:val="TextBody"/>
        <w:bidi w:val="0"/>
        <w:spacing w:before="36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original maturities of three months or less at the date of purchase to be cash equivalents. Cash equivalents primarily consist of investments in money market accounts.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Restricted cash represents amounts that are legally restricted as to withdrawal or use under the terms of certain contractual agreements. The Company’s restricted cash consists of cash deposited with a financial institution as collateral for a letter of credit required under the Company’s lease agreements. Restricted cash is presented separately on the condensed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investments consist of marketable debt securities. Marketable debt securities with contractual maturities of less than 12 months at the balance sheet date are considered short-term marketable securities. Marketable debt securities with contractual maturities of 12 months or greater at the balance sheet date are considered long-term marketable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The Company classifies all investments held as available-for-sale. Available-for-sale securities are recorded at fair value based upon market prices at period end, with the unrealized gains and losses reported in other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amortized cost of debt securities classified as available-for-sale is adjusted for amortization of premiums and accretion of discounts to maturity. Such amortization is included in interest income in the condensed consolidated statements of operations and comprehensive loss. Realized gains and losses and declines in value due to credit-related factors on available-for-sale securities are included in other income (expense), net in the condensed consolidated statements of operations and comprehensive loss. The cost of securities sold is based on the specific identification method. Interest on securities classified as available-for-sale is included in interest income in the condensed consolidated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each balance sheet date, the Company assesses available-for-sale debt securities in an unrealized loss position to determine whether the unrealized loss or any potential credit losses should be recognized in other income (expense), net. The Company evaluates whether it intends to sell, or whether it is more likely than not that it will be required to sell, the security before recovery of its amortized cost basis. The Company also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(expense), net. No impairment charges or credit losses were recognized during any of the periods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Internal use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capitalizes costs related to the development of internal use of enterprise-level business software in support of its clinical trials and other operational needs. Costs incurred in the application development phase are capitalized, and presented within intangible assets, net on the condensed consolidated balance sheets. These costs are amortized on a straight-line basis over the estimated useful lives, which are generally three to seven years, beginning when the software is available for its intended use. Costs related to planning and preliminary project activities, as well as post-implementation activities are expensed as incurred, and recorded within research and development (“R&amp;D”) expenses in the condensed consolidated statements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offering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capitalizes certain legal, accounting and other third-party fees that are incremental and directly attributable to in-process equity financings until such financings are consummated. Upon consummation of an equity financing, deferred offering costs are offset against the related financing proceeds within additional paid-in capital. Should the planned financing be abandoned, the deferred offering costs are expensed immediately as a charge to general and administrative expenses in the condensed consolidated statements of operations and comprehensive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deferred offering costs were capitalized as of December 31, 2025. In connection with the Company’s IPO, which closed on June 22, 2026, the Company incurred $5.4 million of offering costs, which were recorded as a reduction to additional paid-in capital within stockholders’ equity (deficit) in the accompanying condensed consolidated balance sheets as of June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recurring and non-recurring fair value measurements in accordance with ASC 820, which defines fair value, establishes a fair value hierarchy for assets and liabilities measured at fair value, and requires expanded disclosures about fair value measurements.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ASC 820 hierarchy ranks the quality of reliability of inputs, or assumptions, used in the determination of fair value and requires assets and liabilities carried at fair value to be classified and disclosed in one of the following three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1—Quoted prices in active markets for identical assets or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2—Observable inputs (other than Level 1 quoted prices), including quoted prices for similar assets or liabilities in active markets, quoted prices for identical or similar assets or liabilities in markets that are not active, or other observable market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3—Unobservable inputs that are significant to determining the fair value and supported by little or no market activity, including pricing models, discounted cash flow methodologies, and similar techniques.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of cash equivalents, prepaid expenses and other current assets, accounts payable, and accrued expenses approximate their fair values because of their short-term nature.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net of accumulated depreciation. Depreciation is recorded using the straight-line method over the estimated useful lives of the related assets. Leasehold improvements are amortized over the shorter of their estimated useful lives or the remaining lease term of the related asset. Expenditures that extend an asset’s useful life or improve its functionality are capitalized, while routine repairs and maintenance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disposal or retirement of assets, the cost and related accumulated depreciation are removed from the condensed consolidated balance sheets, and the resulting gain or loss is recognized in the condensed consolidated statements of operations and comprehensive loss in the period realized. Property and equipment held for sale are carried at fair value less costs to sell.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estimated useful lives of the Company’s property and equipment are as follows: </w:t>
      </w:r>
    </w:p>
    <w:p>
      <w:pPr>
        <w:pStyle w:val="TextBody"/>
        <w:bidi w:val="0"/>
        <w:jc w:val="left"/>
        <w:rPr/>
      </w:pPr>
      <w:r>
        <w:rPr/>
        <w:t> </w:t>
      </w:r>
    </w:p>
    <w:tbl>
      <w:tblPr>
        <w:tblW w:w="6868" w:type="dxa"/>
        <w:jc w:val="left"/>
        <w:tblInd w:w="0" w:type="dxa"/>
        <w:tblLayout w:type="fixed"/>
        <w:tblCellMar>
          <w:top w:w="28" w:type="dxa"/>
          <w:left w:w="28" w:type="dxa"/>
          <w:bottom w:w="28" w:type="dxa"/>
          <w:right w:w="28" w:type="dxa"/>
        </w:tblCellMar>
      </w:tblPr>
      <w:tblGrid>
        <w:gridCol w:w="2161"/>
        <w:gridCol w:w="146"/>
        <w:gridCol w:w="4561"/>
      </w:tblGrid>
      <w:tr>
        <w:trPr/>
        <w:tc>
          <w:tcPr>
            <w:tcW w:w="2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1" w:type="dxa"/>
            <w:tcBorders/>
            <w:shd w:fill="FFFFFF" w:val="clear"/>
            <w:vAlign w:val="center"/>
          </w:tcPr>
          <w:p>
            <w:pPr>
              <w:pStyle w:val="TableContents"/>
              <w:bidi w:val="0"/>
              <w:spacing w:before="0" w:after="283"/>
              <w:jc w:val="left"/>
              <w:rPr>
                <w:sz w:val="4"/>
                <w:szCs w:val="4"/>
              </w:rPr>
            </w:pPr>
            <w:r>
              <w:rPr>
                <w:sz w:val="4"/>
                <w:szCs w:val="4"/>
              </w:rPr>
            </w:r>
          </w:p>
        </w:tc>
      </w:tr>
      <w:tr>
        <w:trPr/>
        <w:tc>
          <w:tcPr>
            <w:tcW w:w="216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Asset Classification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456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Estimated Useful Life</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16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bottom w:val="single" w:sz="6" w:space="0" w:color="000000"/>
            </w:tcBorders>
            <w:tcMar>
              <w:top w:w="0" w:type="dxa"/>
              <w:left w:w="0" w:type="dxa"/>
              <w:right w:w="0" w:type="dxa"/>
            </w:tcMar>
            <w:vAlign w:val="center"/>
          </w:tcPr>
          <w:p>
            <w:pPr>
              <w:pStyle w:val="TableContents"/>
              <w:bidi w:val="0"/>
              <w:spacing w:before="0" w:after="20"/>
              <w:jc w:val="left"/>
              <w:rPr/>
            </w:pPr>
            <w:r>
              <w:rPr/>
              <w:t> </w:t>
            </w:r>
          </w:p>
        </w:tc>
        <w:tc>
          <w:tcPr>
            <w:tcW w:w="456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Shorter of remaining lease term or estimated useful life</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Business acquisitions, including goodwill, intangible assets and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mergers, acquisitions of assets, and other similar transactions to assess whether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test is met, the transaction is accounted for as an asset acquisition. If the screen is not met, the Company further evaluates whether it has acquired inputs and processes that have the ability to create outputs which would meet the definition of a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transactions that meet the definition of a business as business combinations using the acquisition method of accounting. Under this method, the identifiable assets acquired, including identifiable intangible assets, and liabilities assumed are recognized at their estimated fair values as of the acquisition date. Any excess of the consideration transferred over the estimated fair value of the net identifiable assets acquired is recorded as goodwill. Excess of the fair value of the net assets acquired over the purchase price is recorded as a bargain purchase gain.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Intangible assets acquired in a business combination related to in-process research and development (“IPR&amp;D”) are classified as indefinite-lived until the underlying research and development activities are completed or abandoned.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circumstances where the Company is required to pay future consideration that is contingent upon the achievement of specified milestone events, the Company recognizes a liability equal to the estimated fair value of the contingent payments as of the acquisition date. The liability is remeasured at each reporting period, with fair value changes recorded in R&amp;D expenses in the condensed consolidated statements of operations and comprehensive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Transaction costs associated with business combinations are expensed as they are incurred, and are recorded within general and administrative expenses in the condensed consolidated statement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Asset acquisitions and acquired in-process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acquisitions of assets or a group of assets as asset acquisitions when substantially all of the fair value of the gross assets acquired are concentrated in a single asset or group of similar assets or when the definition of a business is not met. In an asset acquisition, the cost to acquire the asset or group of assets, including certain transaction costs, is allocated to the identifiable assets acquired and liabilities assumed based on their relative fair values as of the acquisition date. No goodwill is recognized in asset acquisitions.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acquired for use in research and development activities that have an alternative future use are capitalized as IPR&amp;D assets. Acquired IPR&amp;D with no alternative future use is recognized as R&amp;D expense on the acquisition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future payments such as those upon the achievement of certain regulatory, development, or sales milestones in an asset acquisition when the underlying milestones are probable to be achieved. Milestone payments made to third parties subsequent to regulatory approval may be capitalized as intangible assets, if deemed to have alternative future use, and amortized over the estimated remaining useful life of the related product. Royalties will be recognized as cost of sales when the covered products are sold and royalties are payable.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Upfront payments are presented as investing outflows within the condensed consolidated statement of cash flows, when they are made in connection with the acquisition of an asset, regardless of whether the acquired asset is expensed as IPR&amp;D or capitalized.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consist of developed technology, other finite-lived intangible assets acquired in business combinations, as well as capitalized internal-use software development costs. Amortization is recognized using the straight-line method over the estimated useful lives of the related assets. Developed technology is amortized over a seven-year period. All other intangible assets subject to amortization are amortized over a three-year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its long-lived assets, including property and equipment, finite-lived intangible assets and right-of-use assets, whenever events or changes in circumstances indicate that the carrying amount of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required, recoverability is measured by comparing the carrying value of the asset group to the estimated future undiscounted cash flows expected to be generated over its remaining economic life. If an asset group is considered to be impaired, the impairment recognized equals the amount by which the carrying value of the asset group exceeds its fair value. If the useful life is shorter than originally estimated, the Company amortizes the remaining carrying value over the revised shorter useful life. </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whether an arrangement is or contains a lease at inception. Operating lease right-of-use (“ROU”) assets represent the Company’s right to use underlying assets during the lease term, and corresponding lease liabilities represent the obligation to make lease payments. ROU assets and liabilities are recognized at the lease commencement date based on the present value of lease payments over the lease term, using the discount rate implicit in the lease, if readily determinable. When the implicit rate is not readily determinable, the Company uses its incremental borrowing rate, which reflects the rate it would pay to borrow on a collateralized basis over a similar term in a comparable economic environment.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ROU assets further include initial direct costs and prepaid lease payments, and are reduced by lease incentives received. Lease terms may include options to extend or terminate when it is reasonably certain such options will be exercised.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Lease expense is recognized on a straight-line basis over the lease term. Variable lease costs are recorded as an expense in the period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elected not to separate lease and non-lease components for any leases within its existing classes of assets and as a result, accounts for lease and non-lease components as a single lease component.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short-term leases, defined as leases with a term of twelve months or less, for which there is no purchase option that the company is reasonably certain to exercise, the Company elected the practical expedient to not recognize an associated lease liability and ROU asset. Payments for short-term leases are expensed on a straight-line basis throughout the lease term and presented as operating expenses in the condensed consolidated statements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Classification and accretion of redeemable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preferred stock did not have redemption rights, except for the contingent redemption in the event of a deemed liquidation, that, in certain situations, was not solely within the control of the Company and would have called for the redemption of the then outstanding preferred stock. Therefore, prior to its conversion, the preferred stock was classified as mezzanine equity outside of stockholders’ equity (deficit) on the condensed consolidated balance sheets. The Company recorded the preferred stock at fair value upon issuance, net of tranche obligations and associated issuance costs. The preferred stock was not redeemable, and a deemed liquidation event was not probable at any point prior to its conversion. As such, the carrying values of the preferred stock were not accreted to the redemption values during the periods it was outstanding. Upon the closing of the Company's initial public offering in June 2026, all outstanding shares of preferred stock automatically converted into shares of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Preferred stock tranche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purchase agreement for the Company’s Series A Preferred Stock (as defined below) provided the Company with an obligation to issue and certain investors to purchase additional Series A Preferred Stock in subsequent closings upon satisfaction of certain conditions (the “preferred stock tranche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determined the obligations met the definition of a freestanding instrument and recognized an associated asset or liability at fair value upon the initial issuance of the preferred stock. The preferred stock tranche obligations were subject to remeasurement at each balance sheet date, with changes in fair value recognized in the change in fair value of preferred stock tranche obligations in the condensed consolidated statement of operations and comprehensive loss. Upon settlement of each tranche, the related preferred stock tranche obligations were derecognized and the shares of preferred stock issued in connection with the settlement were recorded at fair value. Both the Second and Third Tranches of the Series A Preferred Stock subsequently closed, and no preferred stock tranche obligations remained outstanding thereafter.</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 and related accruals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R&amp;D expenses are recognized in the period in which the related services are rendered or goods are received. R&amp;D expenses primarily consist of personnel-related costs, including salaries, benefits, and stock-based compensation expense; laboratory supplies and facility costs; and fees paid to third parties conducting research, preclinical, and clinical activities on behalf of the Company. Non-refundable advance payments for future R&amp;D activities are recorded in prepaid and other assets on the balance sheet, and expensed as the related goods are delivered or services are performed.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accrued R&amp;D expenses based on its evaluation of services performed but not yet invoiced, using available information such as progress reports, contractual terms, and communication with vendors. These estimates include costs related to clinical research organizations (“CROs”), investigative sites, CMOs, and professional service providers. Because contractual payment schedules may not align with the timing of services rendered, expense recognition is based on the estimated level of effort or stage of completion.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Historically, the Company’s estimates of accrued R&amp;D expenses have not differed materially from actual amounts incurred; however, changes in estimates are recognized in the period in which additional information becomes available.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compensation expense for all share-based awards based on the estimated fair value of the award on the grant date. For awards that vest solely based on continued service, stock-based compensation is recognized on a straight-line basis over the requisite service period. The Company recognizes expense related to stock options that contain performance conditions only when it is considered probable that the performance condition will be achieved.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and market awards, stock-based compensation expense is recognized over the requisite service period using the accelerated attribution method. The Company accounts for forfeitures as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service-based stock options is determined on the grant date using the Black-Scholes option pricing model, which incorporates assumptions including the fair value of the Company’s common stock, expected term, expected volatility, risk-free interest rate, and expected dividend yield.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Awards containing market-based conditions are valued using a Monte Carlo simulation model at the grant date, which uses assumptions similar to the Black-Scholes model and incorporates Level 3 inputs related to the likelihood of satisfying market conditions. Compensation expense for awards with market conditions is recognized using the accelerated attribution method over the requisite service period, regardless of whether the market condition is ultimately satisfied.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records proceeds from the early exercise of options as a non-current liability in the condensed consolidated balance sheets, and reclassifies this liability to additional paid-in capital as the Company’s repurchase right lapses. The shares purchased by the option holders pursuant to the early exercise of stock options are not deemed, for accounting purposes, to be outstanding until those shares have vested. </w:t>
      </w:r>
    </w:p>
    <w:p>
      <w:pPr>
        <w:pStyle w:val="TextBody"/>
        <w:bidi w:val="0"/>
        <w:spacing w:before="360" w:after="283"/>
        <w:jc w:val="left"/>
        <w:rPr>
          <w:rFonts w:ascii="Times New Roman" w:hAnsi="Times New Roman"/>
          <w:sz w:val="20"/>
        </w:rPr>
      </w:pPr>
      <w:r>
        <w:rPr>
          <w:rFonts w:ascii="Times New Roman" w:hAnsi="Times New Roman"/>
          <w:b/>
          <w:i/>
          <w:color w:val="000000"/>
          <w:sz w:val="20"/>
        </w:rPr>
        <w:t>Determination of fair value of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common stock is listed on the Nasdaq Global Market and its fair value is based on the closing price of the Company's common stock as reported on Nasdaq as of the applicable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Company's IPO, in the absence of an active market for the Company’s common stock, the estimated fair value of our common stock has been determined by the board of directors as of the date of each applicable measurement date, with input from management, considering our most recently available third-party valuations of common stock, and the board of directors’ assessment of additional objective and subjective factors that it believed were relevant and which may have changed from the date of the most recent valuation through the applicable measurement date. These third-party valuations were performed in accordance with the guidance outlined in the American Institute of Certified Public Accountants’ Accounting and Valuation Guide, Valuation of Privately-Held-Company Equity Securities Issued as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Option Pricing Method (“OPM”). Under the OPM, shares are valued by creating a series of call options with exercise prices based on the liquidation preferences and conversion terms of each equity class. The estimated fair values of the redeemable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Hybrid Method. The Hybrid Method is a hybrid between PWERM and OPM, where the equity value is estimated based on probability-weighted value across multiple scenarios where the OPM is used to estimate the allocation of value within one or more of those scenarios.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early stage of development, the difficulty in predicting the range of specific outcomes (and their likelihood), and other relevant factors, the OPM allocation method was considered most appropriate for valuations prior to December 31, 2025. The OPM treats common stock and redeemable convertible preferred stock as call options on the equity value of a company, with exercise prices based on the value thresholds at which the allocation among the various holders of a company’s securities changes. Under the OPM, the common stock has value only if the funds available for distribution to stockholders exceeded the value of the redeemable convertible preferred stock liquidation preferences at the time of the liquidity event, such as a strategic sale or a merger. Beginning with our February 12, 2026 valuation, we transitioned from an OPM approach to a hybrid valuation method, which we determined was most appropriate based on our stage of development and increased visibility into potential liquidity outcomes. Under the hybrid method, the overall equity value is probability weighted across multiple potential future outcomes, including an initial public offering and a remain private scenario.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under an asset and liability approach for deferred income taxes, which requires recognition of deferred income tax assets and liabilities for the expected future tax consequences of events that have been recognized in the condensed consolidated financial statements but have not been reflected in taxable income. Estimates and judgments occur in the calculation of certain tax liabilities and in the determination of the recoverability of certain deferred tax assets, which arise from temporary differences and carryforwards. Deferred tax assets and liabilities are measured using the currently enacted tax rates that apply to taxable income in effect for the years in which those temporary differences are expected to be realized or settled. The Company regularly assesses the likelihood that deferred tax assets will be realized. To the extent that any amounts are believed to not be more-likely-than-not to be realized, a valuation allowance is recorded to reduce the deferred tax assets. The Company regularly assesses the need for a valuation allowance on deferred tax assets, and to the extent that an adjustment is needed, such adjustment will be recorded in the period that the determination is made. The Company recognizes tax benefits from uncertain tax positions only if it believes the position is more likely than not to be sustained upon examination by the taxing authorities based on the technical merits. The tax benefits recognized are measured as the largest amount of tax benefit that is more likely than not to be realized upon settlement. The Company recognizes interest and penalties related to income tax matters as income tax expense. To date, there have been no interest charges or penalties related to unrecognized tax benefits. </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loss per share attributable to common stockholders is calculated using the two-class method, as the Company’s preferred stock represents participating securities that participate in earnings on a non-cumulative basis when dividends are declared on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net loss attributable to common stockholders by the weighted-average number of common shares outstanding during the period, excluding shares subject to vesting or forfeiture, without consideration for potentially dilutive securities. Diluted net loss per share attributable to common stockholders is calculated by giving effect to all potentially dilutive securities outstanding for the period utilizing the treasury stock method or the if-converted method based on the nature of such securities. Diluted net loss per share is the same as basic net loss per share in periods when the effects of potentially dilutive shares of common stock are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periods of net income, distributed and undistributed earnings are allocated to participating securities based on their contractual participation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loss includes all changes in equity (net assets) during a period from non-owner sources, including unrealized gains and losses on investments. Comprehensive gains and losses have been reflected in the condensed consolidated statements of operations and comprehensive loss. </w:t>
      </w:r>
    </w:p>
    <w:p>
      <w:pPr>
        <w:pStyle w:val="TextBody"/>
        <w:bidi w:val="0"/>
        <w:spacing w:before="360" w:after="283"/>
        <w:jc w:val="left"/>
        <w:rPr>
          <w:rFonts w:ascii="Times New Roman" w:hAnsi="Times New Roman"/>
          <w:sz w:val="20"/>
        </w:rPr>
      </w:pPr>
      <w:r>
        <w:rPr>
          <w:rFonts w:ascii="Times New Roman" w:hAnsi="Times New Roman"/>
          <w:b/>
          <w:i/>
          <w:color w:val="000000"/>
          <w:sz w:val="20"/>
        </w:rPr>
        <w:t>Emerging growth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an emerging growth company, as defined in the Jumpstart Our Business Startups Act of 2012, as amended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condensed consolidated financial statements may not be comparable to companies that comply with the new or revised accounting pronouncements as of public company effective dates. </w:t>
      </w:r>
    </w:p>
    <w:p>
      <w:pPr>
        <w:pStyle w:val="TextBody"/>
        <w:bidi w:val="0"/>
        <w:spacing w:before="360" w:after="283"/>
        <w:jc w:val="left"/>
        <w:rPr>
          <w:rFonts w:ascii="Times New Roman" w:hAnsi="Times New Roman"/>
          <w:sz w:val="20"/>
        </w:rPr>
      </w:pPr>
      <w:r>
        <w:rPr>
          <w:rFonts w:ascii="Times New Roman" w:hAnsi="Times New Roman"/>
          <w:b/>
          <w:i/>
          <w:color w:val="000000"/>
          <w:sz w:val="20"/>
        </w:rPr>
        <w:t>Recent accounting pronouncements -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xml:space="preserve">, which requires new tabular disclosures for specified categories of expenses. ASU 2024-03 is effective for fiscal years beginning after December 15, 2026, and interim periods within fiscal years beginning after December 15, 2027, with early adoption permitted. The Company is currently evaluating the potential impact of this guidance on its condensed consolidated financial statements and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xml:space="preserve">, which amends certain aspects of the accounting for, and disclosure of, internal-use software costs under ASC 350-40, </w:t>
      </w:r>
      <w:r>
        <w:rPr>
          <w:rFonts w:ascii="Times New Roman" w:hAnsi="Times New Roman"/>
          <w:i/>
          <w:color w:val="000000"/>
          <w:sz w:val="20"/>
        </w:rPr>
        <w:t>Intangibles — Goodwill and Other - Internal-Use Software</w:t>
      </w:r>
      <w:r>
        <w:rPr>
          <w:rFonts w:ascii="Times New Roman" w:hAnsi="Times New Roman"/>
          <w:color w:val="000000"/>
          <w:sz w:val="20"/>
        </w:rPr>
        <w:t xml:space="preserve">. ASU 2025-06 is intended to simplify and modernize the accounting for internal-use software costs by removing all references to prescriptive and sequential software development stages under Subtopic 350-40. The amendments in ASU 2025-06 are effective for annual reporting periods beginning after December 15, 2027, and interim reporting periods within those annual reporting periods, with early adoption permitted as of the beginning of an annual reporting period. The guidance can be applied prospectively, retrospectively or under a modified transition approach. The Company is currently assessing the impact of the adoption of this guidance on its condensed consolidated financial statements and disclosures.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 w:hAnsi="Times New Roman"/>
          <w:color w:val="000000"/>
          <w:sz w:val="20"/>
        </w:rPr>
        <w:t xml:space="preserve">, which clarifies the application of derivative accounting to certain contracts and refines the guidance for share-based noncash consideration received from customers. Specifically, ASU 2025-07 introduces a scope exception for contracts that are not exchange-traded and whose underlying is tied to operations or activities specific to one party. ASU 2025-07 is effective for fiscal years beginning after December 15, 2026 and interim periods within those fiscal years, with early adoption permitted. The guidance may be applied prospectively or under a modified retrospective transition approach, and the Company is currently assessing the impact of adoption on its condensed consolidated financial statements and disclosures. </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types of financial assets and liabilities measured at fair value on a recurring basis by level within the fair value hierarchy. As of June 30, 2026 and December 31, 2025, financial assets and liabilities measured at fair value on a recurring basis were as follows (in thousands): </w:t>
      </w:r>
    </w:p>
    <w:p>
      <w:pPr>
        <w:pStyle w:val="TextBody"/>
        <w:bidi w:val="0"/>
        <w:jc w:val="left"/>
        <w:rPr/>
      </w:pPr>
      <w:r>
        <w:rPr/>
        <w:t> </w:t>
      </w:r>
    </w:p>
    <w:tbl>
      <w:tblPr>
        <w:tblW w:w="8872" w:type="dxa"/>
        <w:jc w:val="left"/>
        <w:tblInd w:w="0" w:type="dxa"/>
        <w:tblLayout w:type="fixed"/>
        <w:tblCellMar>
          <w:top w:w="28" w:type="dxa"/>
          <w:left w:w="28" w:type="dxa"/>
          <w:bottom w:w="28" w:type="dxa"/>
          <w:right w:w="28" w:type="dxa"/>
        </w:tblCellMar>
      </w:tblPr>
      <w:tblGrid>
        <w:gridCol w:w="3496"/>
        <w:gridCol w:w="146"/>
        <w:gridCol w:w="211"/>
        <w:gridCol w:w="781"/>
        <w:gridCol w:w="146"/>
        <w:gridCol w:w="146"/>
        <w:gridCol w:w="211"/>
        <w:gridCol w:w="781"/>
        <w:gridCol w:w="146"/>
        <w:gridCol w:w="146"/>
        <w:gridCol w:w="211"/>
        <w:gridCol w:w="676"/>
        <w:gridCol w:w="146"/>
        <w:gridCol w:w="146"/>
        <w:gridCol w:w="211"/>
        <w:gridCol w:w="781"/>
        <w:gridCol w:w="4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376,979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653,666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milestone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662" w:type="dxa"/>
        <w:jc w:val="left"/>
        <w:tblInd w:w="0" w:type="dxa"/>
        <w:tblLayout w:type="fixed"/>
        <w:tblCellMar>
          <w:top w:w="28" w:type="dxa"/>
          <w:left w:w="28" w:type="dxa"/>
          <w:bottom w:w="28" w:type="dxa"/>
          <w:right w:w="28" w:type="dxa"/>
        </w:tblCellMar>
      </w:tblPr>
      <w:tblGrid>
        <w:gridCol w:w="3496"/>
        <w:gridCol w:w="146"/>
        <w:gridCol w:w="211"/>
        <w:gridCol w:w="676"/>
        <w:gridCol w:w="146"/>
        <w:gridCol w:w="146"/>
        <w:gridCol w:w="211"/>
        <w:gridCol w:w="781"/>
        <w:gridCol w:w="146"/>
        <w:gridCol w:w="146"/>
        <w:gridCol w:w="211"/>
        <w:gridCol w:w="571"/>
        <w:gridCol w:w="146"/>
        <w:gridCol w:w="146"/>
        <w:gridCol w:w="211"/>
        <w:gridCol w:w="781"/>
        <w:gridCol w:w="4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94,108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331,688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milestone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There were no transfers between Level 1, 2, or 3 during the three and six months ended June 30, 2026 and during the year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Company’s marketable securities, that are classified as available-for-sale, as of June 30, 2026 and December 31, 2025 (in thousands): </w:t>
      </w:r>
    </w:p>
    <w:p>
      <w:pPr>
        <w:pStyle w:val="TextBody"/>
        <w:bidi w:val="0"/>
        <w:jc w:val="left"/>
        <w:rPr/>
      </w:pPr>
      <w:r>
        <w:rPr/>
        <w:t> </w:t>
      </w:r>
    </w:p>
    <w:tbl>
      <w:tblPr>
        <w:tblW w:w="8230" w:type="dxa"/>
        <w:jc w:val="left"/>
        <w:tblInd w:w="0" w:type="dxa"/>
        <w:tblLayout w:type="fixed"/>
        <w:tblCellMar>
          <w:top w:w="28" w:type="dxa"/>
          <w:left w:w="28" w:type="dxa"/>
          <w:bottom w:w="28" w:type="dxa"/>
          <w:right w:w="28" w:type="dxa"/>
        </w:tblCellMar>
      </w:tblPr>
      <w:tblGrid>
        <w:gridCol w:w="2841"/>
        <w:gridCol w:w="146"/>
        <w:gridCol w:w="211"/>
        <w:gridCol w:w="781"/>
        <w:gridCol w:w="146"/>
        <w:gridCol w:w="146"/>
        <w:gridCol w:w="335"/>
        <w:gridCol w:w="551"/>
        <w:gridCol w:w="146"/>
        <w:gridCol w:w="146"/>
        <w:gridCol w:w="270"/>
        <w:gridCol w:w="616"/>
        <w:gridCol w:w="166"/>
        <w:gridCol w:w="146"/>
        <w:gridCol w:w="211"/>
        <w:gridCol w:w="781"/>
        <w:gridCol w:w="5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276,687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10" w:type="dxa"/>
        <w:jc w:val="left"/>
        <w:tblInd w:w="0" w:type="dxa"/>
        <w:tblLayout w:type="fixed"/>
        <w:tblCellMar>
          <w:top w:w="28" w:type="dxa"/>
          <w:left w:w="28" w:type="dxa"/>
          <w:bottom w:w="28" w:type="dxa"/>
          <w:right w:w="28" w:type="dxa"/>
        </w:tblCellMar>
      </w:tblPr>
      <w:tblGrid>
        <w:gridCol w:w="2841"/>
        <w:gridCol w:w="146"/>
        <w:gridCol w:w="211"/>
        <w:gridCol w:w="781"/>
        <w:gridCol w:w="146"/>
        <w:gridCol w:w="146"/>
        <w:gridCol w:w="335"/>
        <w:gridCol w:w="551"/>
        <w:gridCol w:w="146"/>
        <w:gridCol w:w="146"/>
        <w:gridCol w:w="335"/>
        <w:gridCol w:w="551"/>
        <w:gridCol w:w="146"/>
        <w:gridCol w:w="146"/>
        <w:gridCol w:w="211"/>
        <w:gridCol w:w="781"/>
        <w:gridCol w:w="5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226,433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226,496</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available-for-sale securities by contractual maturity were as follows (in thousands):</w:t>
      </w:r>
    </w:p>
    <w:p>
      <w:pPr>
        <w:pStyle w:val="TextBody"/>
        <w:bidi w:val="0"/>
        <w:jc w:val="left"/>
        <w:rPr/>
      </w:pPr>
      <w:r>
        <w:rPr/>
        <w:t> </w:t>
      </w:r>
    </w:p>
    <w:tbl>
      <w:tblPr>
        <w:tblW w:w="4872" w:type="dxa"/>
        <w:jc w:val="left"/>
        <w:tblInd w:w="0" w:type="dxa"/>
        <w:tblLayout w:type="fixed"/>
        <w:tblCellMar>
          <w:top w:w="28" w:type="dxa"/>
          <w:left w:w="28" w:type="dxa"/>
          <w:bottom w:w="28" w:type="dxa"/>
          <w:right w:w="28" w:type="dxa"/>
        </w:tblCellMar>
      </w:tblPr>
      <w:tblGrid>
        <w:gridCol w:w="1956"/>
        <w:gridCol w:w="146"/>
        <w:gridCol w:w="211"/>
        <w:gridCol w:w="781"/>
        <w:gridCol w:w="146"/>
        <w:gridCol w:w="146"/>
        <w:gridCol w:w="233"/>
        <w:gridCol w:w="862"/>
        <w:gridCol w:w="391"/>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in 1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in 1 to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economic and market conditions and determined that its investments were not significantly impacted. For the three and six months ended June 30, 2026 and 2025 the Company did not recognize any impairment losses on its investments. </w:t>
      </w:r>
    </w:p>
    <w:p>
      <w:pPr>
        <w:pStyle w:val="TextBody"/>
        <w:bidi w:val="0"/>
        <w:spacing w:before="360" w:after="283"/>
        <w:jc w:val="left"/>
        <w:rPr>
          <w:rFonts w:ascii="Times New Roman" w:hAnsi="Times New Roman"/>
          <w:sz w:val="20"/>
        </w:rPr>
      </w:pPr>
      <w:r>
        <w:rPr>
          <w:rFonts w:ascii="Times New Roman" w:hAnsi="Times New Roman"/>
          <w:i/>
          <w:color w:val="000000"/>
          <w:sz w:val="20"/>
        </w:rPr>
        <w:t>Series A Preferred Stock Tranche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June 2024, the Company entered into a Series A Preferred Stock purchase agreement (Note 9, “</w:t>
      </w:r>
      <w:r>
        <w:rPr>
          <w:rFonts w:ascii="Times New Roman" w:hAnsi="Times New Roman"/>
          <w:i/>
          <w:color w:val="000000"/>
          <w:sz w:val="20"/>
        </w:rPr>
        <w:t>Redeemable Convertible Preferred Stock”</w:t>
      </w:r>
      <w:r>
        <w:rPr>
          <w:rFonts w:ascii="Times New Roman" w:hAnsi="Times New Roman"/>
          <w:color w:val="000000"/>
          <w:sz w:val="20"/>
        </w:rPr>
        <w:t xml:space="preserve">). The preferred stock tranche asset and liability represented the fair value of the Company’s obligations to issue Series A Preferred Stock in two subsequent closings upon satisfaction of certain conditions. These instruments were measured at fair value on a recurring basis and were classified within Level 3 of the fair value hierarchy as the valuation incorporates significant unobservable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was determined using a probability-weighted expected return method as it represents a contingent commitment for the additional shares. The valuation reflected market-participant assumptions, and considered, among other inputs, the estimated fair value per share of the Series A Preferred Stock as of each measurement date, probability of meeting certain milestone events, the expected time until certain milestone events would be met, and the discount 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most significant unobservable inputs were the estimated fair value of the Company’s Series A Preferred Stock and the probability and expected timing of achieving certain milestone events as of the measurement dates. The Company determined the fair value per share of the underlying Series A Preferred Stock by taking into consideration the most recent sales of its Series A Preferred Stock, results obtained from third-party valuations and additional factors the Company deemed relevant. Changes in these inputs can materially affect the fair value of the preferred stock tranche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most significant assumptions used in the probability-weighted expected return model to determine the fair value of the Series A Preferred Stock tranche obligations during the periods presented: </w:t>
      </w:r>
    </w:p>
    <w:p>
      <w:pPr>
        <w:pStyle w:val="TextBody"/>
        <w:bidi w:val="0"/>
        <w:jc w:val="left"/>
        <w:rPr/>
      </w:pPr>
      <w:r>
        <w:rPr/>
        <w:t> </w:t>
      </w:r>
    </w:p>
    <w:tbl>
      <w:tblPr>
        <w:tblW w:w="5652" w:type="dxa"/>
        <w:jc w:val="left"/>
        <w:tblInd w:w="0" w:type="dxa"/>
        <w:tblLayout w:type="fixed"/>
        <w:tblCellMar>
          <w:top w:w="28" w:type="dxa"/>
          <w:left w:w="28" w:type="dxa"/>
          <w:bottom w:w="28" w:type="dxa"/>
          <w:right w:w="28" w:type="dxa"/>
        </w:tblCellMar>
      </w:tblPr>
      <w:tblGrid>
        <w:gridCol w:w="3361"/>
        <w:gridCol w:w="146"/>
        <w:gridCol w:w="168"/>
        <w:gridCol w:w="538"/>
        <w:gridCol w:w="271"/>
        <w:gridCol w:w="146"/>
        <w:gridCol w:w="181"/>
        <w:gridCol w:w="525"/>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w:t>
              <w:br/>
              <w:t>Tranche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w:t>
              <w:br/>
              <w:t>Tranche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achieving milestone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until milestone is achieved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Fair value of Series A Preferred Stock was $21.24 per share as of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a summary of the changes in the fair value of the Series A Preferred Stock tranche obligations, asset/(liability) for the six months ended June 30, 2025 (in thousands): </w:t>
      </w:r>
    </w:p>
    <w:p>
      <w:pPr>
        <w:pStyle w:val="TextBody"/>
        <w:bidi w:val="0"/>
        <w:jc w:val="left"/>
        <w:rPr/>
      </w:pPr>
      <w:r>
        <w:rPr/>
        <w:t> </w:t>
      </w:r>
    </w:p>
    <w:tbl>
      <w:tblPr>
        <w:tblW w:w="6829" w:type="dxa"/>
        <w:jc w:val="left"/>
        <w:tblInd w:w="0" w:type="dxa"/>
        <w:tblLayout w:type="fixed"/>
        <w:tblCellMar>
          <w:top w:w="28" w:type="dxa"/>
          <w:left w:w="28" w:type="dxa"/>
          <w:bottom w:w="28" w:type="dxa"/>
          <w:right w:w="28" w:type="dxa"/>
        </w:tblCellMar>
      </w:tblPr>
      <w:tblGrid>
        <w:gridCol w:w="4191"/>
        <w:gridCol w:w="146"/>
        <w:gridCol w:w="211"/>
        <w:gridCol w:w="736"/>
        <w:gridCol w:w="166"/>
        <w:gridCol w:w="146"/>
        <w:gridCol w:w="211"/>
        <w:gridCol w:w="631"/>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w:t>
              <w:br/>
              <w:t>Tranche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w:t>
              <w:br/>
              <w:t>Tranche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preferred stock tranche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six months ended June 30, 2025, upon the closing of the Third Tranche, the related preferred stock tranche obligation was derecognized and the shares of preferred stock issued in connection with the settlement were recorded at the fair value as of settlement date. No change in fair value was recognized in the condensed consolidated statement of operations and comprehensive loss upon settlement of the Third Tranche obligation.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the Company remeasured the Second Tranche obligation, and the associated change in fair value of preferred stock tranche obligation of $3.9 million was recognized in the condensed consolidated statement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Both the Second and Third Tranches of the Series A Preferred Stock were closed during the year ended December 31, 2025, and accordingly, no change in fair value was recorded for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Prolaio Contingent Milestone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February 24, 2025, the Company acquired Prolaio, Inc., and, as part of the consideration transferred in the acquisition, recognized a contingent consideration liability. The liability represented the estimated fair value of future milestone payments of up to $200.0 million payable to Prolaio's former stockholders upon the achievement of specified post-closing operational, financial and regulatory milestones. On May 1, 2026, the Company entered into an amendment to the Agreement and Plan of Merger with Prolaio's former stockholders to amend the applicable milestone provisions, which replaced the original milestones with new milestones tied to the Company's achievement of specified valuation thresholds through May 2032, while keeping the aggregate maximum milestone payments unchanged at $200.0 million (Note 5, "</w:t>
      </w:r>
      <w:r>
        <w:rPr>
          <w:rFonts w:ascii="Times New Roman" w:hAnsi="Times New Roman"/>
          <w:i/>
          <w:color w:val="000000"/>
          <w:sz w:val="20"/>
        </w:rPr>
        <w:t>Acquisitions and Licensing Agreements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summary of the changes in the fair value of the Prolaio contingent milestone liabilities (in thousands): </w:t>
      </w:r>
    </w:p>
    <w:p>
      <w:pPr>
        <w:pStyle w:val="TextBody"/>
        <w:bidi w:val="0"/>
        <w:jc w:val="left"/>
        <w:rPr/>
      </w:pPr>
      <w:r>
        <w:rPr/>
        <w:t> </w:t>
      </w:r>
    </w:p>
    <w:tbl>
      <w:tblPr>
        <w:tblW w:w="4655" w:type="dxa"/>
        <w:jc w:val="left"/>
        <w:tblInd w:w="0" w:type="dxa"/>
        <w:tblLayout w:type="fixed"/>
        <w:tblCellMar>
          <w:top w:w="28" w:type="dxa"/>
          <w:left w:w="28" w:type="dxa"/>
          <w:bottom w:w="28" w:type="dxa"/>
          <w:right w:w="28" w:type="dxa"/>
        </w:tblCellMar>
      </w:tblPr>
      <w:tblGrid>
        <w:gridCol w:w="3231"/>
        <w:gridCol w:w="146"/>
        <w:gridCol w:w="211"/>
        <w:gridCol w:w="676"/>
        <w:gridCol w:w="3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Initial recognition upon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utilizes significant estimates and assumptions it believes would be made by a market participant in determining the estimated fair value of contingent milestone liabilities at each balance sheet date.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Prior to the amendment, the fair value of the Prolaio contingent consideration was determined by calculating the probability-weighted estimated value of the specified milestone payments, based on the assessment of the likelihood and estimated timing that the milestones would be achieved and the applicable discount rates. The discount rate captured the credit risk associated with the payment of the contingent consideration when earned and due.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the amendment date and subsequently, the fair value of the Prolaio contingent milestone liabilities was determined based on the Monte Carlo valuation method, reflecting the shift to valuation-based milestones tied to the Company's market valuation thresholds through May 2032.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Prolaio contingent milestone liabilities as of the respective dates were calculated using the following unobservable inputs: </w:t>
      </w:r>
    </w:p>
    <w:p>
      <w:pPr>
        <w:pStyle w:val="TextBody"/>
        <w:bidi w:val="0"/>
        <w:jc w:val="left"/>
        <w:rPr/>
      </w:pPr>
      <w:r>
        <w:rPr/>
        <w:t> </w:t>
      </w:r>
    </w:p>
    <w:tbl>
      <w:tblPr>
        <w:tblW w:w="7506" w:type="dxa"/>
        <w:jc w:val="left"/>
        <w:tblInd w:w="0" w:type="dxa"/>
        <w:tblLayout w:type="fixed"/>
        <w:tblCellMar>
          <w:top w:w="28" w:type="dxa"/>
          <w:left w:w="28" w:type="dxa"/>
          <w:bottom w:w="28" w:type="dxa"/>
          <w:right w:w="28" w:type="dxa"/>
        </w:tblCellMar>
      </w:tblPr>
      <w:tblGrid>
        <w:gridCol w:w="2146"/>
        <w:gridCol w:w="146"/>
        <w:gridCol w:w="204"/>
        <w:gridCol w:w="801"/>
        <w:gridCol w:w="271"/>
        <w:gridCol w:w="146"/>
        <w:gridCol w:w="162"/>
        <w:gridCol w:w="634"/>
        <w:gridCol w:w="271"/>
        <w:gridCol w:w="146"/>
        <w:gridCol w:w="1321"/>
        <w:gridCol w:w="146"/>
        <w:gridCol w:w="162"/>
        <w:gridCol w:w="634"/>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Discount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Probability of milestone</w:t>
              <w:br/>
              <w:t>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4780" w:type="dxa"/>
        <w:jc w:val="left"/>
        <w:tblInd w:w="0" w:type="dxa"/>
        <w:tblLayout w:type="fixed"/>
        <w:tblCellMar>
          <w:top w:w="28" w:type="dxa"/>
          <w:left w:w="28" w:type="dxa"/>
          <w:bottom w:w="28" w:type="dxa"/>
          <w:right w:w="28" w:type="dxa"/>
        </w:tblCellMar>
      </w:tblPr>
      <w:tblGrid>
        <w:gridCol w:w="1756"/>
        <w:gridCol w:w="146"/>
        <w:gridCol w:w="303"/>
        <w:gridCol w:w="822"/>
        <w:gridCol w:w="271"/>
        <w:gridCol w:w="146"/>
        <w:gridCol w:w="275"/>
        <w:gridCol w:w="745"/>
        <w:gridCol w:w="316"/>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Expiration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Starting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debt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estimated fair value of contingent milestone liabilities may change significantly as development progresses and additional data is obtained, impacting the assumptions regarding probabilities of successful achievement of the Company's valuation thresholds used to estimate the fair value of the liability and the timing in which they are expected to be achieved. In evaluating the fair value assumptions, judgment is required to interpret the market data used to develop the estimates. Accordingly, the use of different market assumptions, inputs and/or different valuation techniques could result in materially different fair value estimates. </w:t>
      </w:r>
    </w:p>
    <w:p>
      <w:pPr>
        <w:pStyle w:val="TextBody"/>
        <w:bidi w:val="0"/>
        <w:spacing w:before="360" w:after="283"/>
        <w:jc w:val="left"/>
        <w:rPr>
          <w:rFonts w:ascii="Times New Roman" w:hAnsi="Times New Roman"/>
          <w:sz w:val="20"/>
        </w:rPr>
      </w:pPr>
      <w:r>
        <w:rPr>
          <w:rFonts w:ascii="Times New Roman" w:hAnsi="Times New Roman"/>
          <w:i/>
          <w:color w:val="000000"/>
          <w:sz w:val="20"/>
        </w:rPr>
        <w:t>PhysIQ Contingent Consideration (Assumed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utilized significant estimates and assumptions it believes would be made by a market participant in determining the estimated fair value of the contingent consideration liability. The fair value of the PhysIQ contingent consideration, as of the acquisition date, was determined by calculating the probability-weighted estimated value of the specified milestone payments, based on the assessment of the likelihood and estimated timing that the milestones would be achieved and the applicable discount rates. The discount rate captures the credit risk associated with the payment of the contingent consideration when earned and due.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PhysIQ contingent consideration as of the acquisition date was $3.3 million and was calculated using the following unobservable inputs: </w:t>
      </w:r>
    </w:p>
    <w:p>
      <w:pPr>
        <w:pStyle w:val="TextBody"/>
        <w:bidi w:val="0"/>
        <w:jc w:val="left"/>
        <w:rPr/>
      </w:pPr>
      <w:r>
        <w:rPr/>
        <w:t> </w:t>
      </w:r>
    </w:p>
    <w:tbl>
      <w:tblPr>
        <w:tblW w:w="5891" w:type="dxa"/>
        <w:jc w:val="left"/>
        <w:tblInd w:w="0" w:type="dxa"/>
        <w:tblLayout w:type="fixed"/>
        <w:tblCellMar>
          <w:top w:w="28" w:type="dxa"/>
          <w:left w:w="28" w:type="dxa"/>
          <w:bottom w:w="28" w:type="dxa"/>
          <w:right w:w="28" w:type="dxa"/>
        </w:tblCellMar>
      </w:tblPr>
      <w:tblGrid>
        <w:gridCol w:w="3166"/>
        <w:gridCol w:w="146"/>
        <w:gridCol w:w="1321"/>
        <w:gridCol w:w="146"/>
        <w:gridCol w:w="162"/>
        <w:gridCol w:w="634"/>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24,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milestone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The weighted-average unobservable inputs were calculated based on the relative value of the specified milestones. The estimated fair value of contingent consideration liabilities may change significantly as development progresses and additional data is obtained, impacting the assumptions regarding probabilities of successful achievement of the milestones used to estimate the fair value of the liability and the timing in which they are expected to be achieved. In evaluating the fair value assumptions, judgment is required to interpret the market data used to develop the estimates. Accordingly, the use of different market assumptions, inputs and/or different valuation techniques could result in materially different fair value estimates. Following the initial recognition at the acquisition date, the acquired contingency is not subsequently measured at fair value. Refer to Note 5, “</w:t>
      </w:r>
      <w:r>
        <w:rPr>
          <w:rFonts w:ascii="Times New Roman" w:hAnsi="Times New Roman"/>
          <w:i/>
          <w:color w:val="000000"/>
          <w:sz w:val="20"/>
        </w:rPr>
        <w:t>Acquisitions and Licensing Agreements</w:t>
      </w:r>
      <w:r>
        <w:rPr>
          <w:rFonts w:ascii="Times New Roman" w:hAnsi="Times New Roman"/>
          <w:color w:val="000000"/>
          <w:sz w:val="20"/>
        </w:rPr>
        <w:t xml:space="preserve">” for further details on the change in the carrying value of the PhyslQ contingent consideration. </w:t>
      </w:r>
    </w:p>
    <w:p>
      <w:pPr>
        <w:pStyle w:val="TextBody"/>
        <w:bidi w:val="0"/>
        <w:spacing w:before="360" w:after="283"/>
        <w:jc w:val="left"/>
        <w:rPr>
          <w:rFonts w:ascii="Times New Roman" w:hAnsi="Times New Roman"/>
          <w:sz w:val="20"/>
        </w:rPr>
      </w:pPr>
      <w:r>
        <w:rPr>
          <w:rFonts w:ascii="Times New Roman" w:hAnsi="Times New Roman"/>
          <w:b/>
          <w:color w:val="000000"/>
          <w:sz w:val="20"/>
        </w:rPr>
        <w:t>4.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5672" w:type="dxa"/>
        <w:jc w:val="left"/>
        <w:tblInd w:w="0" w:type="dxa"/>
        <w:tblLayout w:type="fixed"/>
        <w:tblCellMar>
          <w:top w:w="28" w:type="dxa"/>
          <w:left w:w="28" w:type="dxa"/>
          <w:bottom w:w="28" w:type="dxa"/>
          <w:right w:w="28" w:type="dxa"/>
        </w:tblCellMar>
      </w:tblPr>
      <w:tblGrid>
        <w:gridCol w:w="2886"/>
        <w:gridCol w:w="146"/>
        <w:gridCol w:w="211"/>
        <w:gridCol w:w="631"/>
        <w:gridCol w:w="166"/>
        <w:gridCol w:w="146"/>
        <w:gridCol w:w="274"/>
        <w:gridCol w:w="821"/>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Furniture &amp;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was $0.4 million, $0.9 million for the three and six months ended June 30, 2026, and $0.1 million and $0.2 million for the three and six months ended June 30,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Accrued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4461"/>
        <w:gridCol w:w="146"/>
        <w:gridCol w:w="211"/>
        <w:gridCol w:w="676"/>
        <w:gridCol w:w="146"/>
        <w:gridCol w:w="146"/>
        <w:gridCol w:w="260"/>
        <w:gridCol w:w="835"/>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5. Acquisitions and licensing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Acquisition of Prolaio,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February 24, 2025 (the “Acquisition Date”), the Company acquired 100% of the outstanding shares of Prolaio, Inc., a healthcare technology company focused on cardiovascular data collection and analytics. The acquisition provides the Company with access to Prolaio, Inc.’s cardiovascular data platform, to enhance and accelerate the Company’s research and development portfolio of late-stage cardiovascular disease assets. At the time of the acquisition, Tassos Gianakakos, the Company’s Chief Executive Officer and member of the Company’s board of directors, also served as Prolaio, Inc.’s Chief Executive Officer and as a member of its board of directors and Jay Edelberg, the Company’s Chief Medical Officer, served as its Head of Research &amp; Development and as a member of its board of directors. Mr. Gianakakos and Dr. Edelberg beneficially owned 55.7% and 17.1%, respectively, of Prolaio at the time of its acquisition. Accordingly, the Prolaio acquisition itself constituted a related-party transaction. Refer to Note 15, “</w:t>
      </w:r>
      <w:r>
        <w:rPr>
          <w:rFonts w:ascii="Times New Roman" w:hAnsi="Times New Roman"/>
          <w:i/>
          <w:color w:val="000000"/>
          <w:sz w:val="20"/>
        </w:rPr>
        <w:t>Related Party Transactions”</w:t>
      </w:r>
      <w:r>
        <w:rPr>
          <w:rFonts w:ascii="Times New Roman" w:hAnsi="Times New Roman"/>
          <w:color w:val="000000"/>
          <w:sz w:val="20"/>
        </w:rPr>
        <w:t xml:space="preserve"> for further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concluded that Prolaio constituted a business under ASC 805 and the transaction was accounted for as a business combination.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purchase consideration transferred was approximately $8.6 million, consisting of approximately $4.0 million in cash, primarily used to repay $4.0 million of promissory notes held by Mr. Gianakakos’ family’s trusts, and fair value of contingent consideration of $4.6 million, representing the estimated acquisition date fair value of milestone payments of up to $200.0 million, payable in cash or shares, contingent on the achievement of various post-closing milestones (the “Prolaio Contingent Consideration”). The Prolaio Contingent Consideration was recognized as contingent milestone liabilities on the condensed consolidated balance sheet.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Acquisition related costs of approximately $0.8 million, consisting primarily of legal, accounting, and valuation fees, were expensed as incurred and recorded within general and administrative expenses in the condensed consolidated statement of operations and comprehensive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fair values of the identifiable assets acquired and liabilities assumed as of the Acquisition Date (in thousands): </w:t>
      </w:r>
    </w:p>
    <w:p>
      <w:pPr>
        <w:pStyle w:val="TextBody"/>
        <w:bidi w:val="0"/>
        <w:jc w:val="left"/>
        <w:rPr/>
      </w:pPr>
      <w:r>
        <w:rPr/>
        <w:t> </w:t>
      </w:r>
    </w:p>
    <w:tbl>
      <w:tblPr>
        <w:tblW w:w="5680" w:type="dxa"/>
        <w:jc w:val="left"/>
        <w:tblInd w:w="0" w:type="dxa"/>
        <w:tblLayout w:type="fixed"/>
        <w:tblCellMar>
          <w:top w:w="28" w:type="dxa"/>
          <w:left w:w="28" w:type="dxa"/>
          <w:bottom w:w="28" w:type="dxa"/>
          <w:right w:w="28" w:type="dxa"/>
        </w:tblCellMar>
      </w:tblPr>
      <w:tblGrid>
        <w:gridCol w:w="4056"/>
        <w:gridCol w:w="146"/>
        <w:gridCol w:w="211"/>
        <w:gridCol w:w="676"/>
        <w:gridCol w:w="5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w:t>
              <w:noBreakHyphen/>
              <w:t>process research and development (IPR&amp;D)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contingent consideration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connection with this acquisition, the Company recorded $13.8 million of net assets acquired, primarily consisting of developed technology with a fair value of $25.4 million, IPR&amp;D with a fair value of $1.1 million, and $13.8 million in liabilities assumed, including $4.5 million of deferred income tax liability and $3.3 million of assumed contingent consideration liability. Because the fair value of net identifiable assets acquired exceeded the fair value of the consideration transferred, the Company recognized a gain on bargain purchase in the amount of $5.2 million in the condensed consolidated statement of operations and comprehensive loss for the six months ended June 30, 2025. The bargain purchase gain reflects the Company’s ability to acquire Prolaio at a purchase price below the fair value of the acquired net assets due to a combination of factors, including Prolaio’s limited operating scale, historical operating losses, liquidity constraints at the time of the transaction, and the structure of the consideration transferred. In particular, concurrent with the acquisition, the Company entered into integration bonus arrangements with the Company’s Chief Executive Officer and Chief Medical Officer (“Integration Bonus”), both of whom were co-founders and Prolaio shareholders. These arrangements were contingent upon post-combination services and successful integration and, accordingly were accounted for as compensation expense rather than consideration transferred.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Prolaio’s results of operations were included in the Company’s condensed consolidated statement of operations and comprehensive loss from the date of acquisition, February 24, 2025. </w:t>
      </w:r>
    </w:p>
    <w:p>
      <w:pPr>
        <w:pStyle w:val="TextBody"/>
        <w:bidi w:val="0"/>
        <w:spacing w:before="360" w:after="283"/>
        <w:jc w:val="left"/>
        <w:rPr>
          <w:rFonts w:ascii="Times New Roman" w:hAnsi="Times New Roman"/>
          <w:sz w:val="20"/>
        </w:rPr>
      </w:pPr>
      <w:r>
        <w:rPr>
          <w:rFonts w:ascii="Times New Roman" w:hAnsi="Times New Roman"/>
          <w:i/>
          <w:color w:val="000000"/>
          <w:sz w:val="20"/>
        </w:rPr>
        <w:t>Pro forma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pro forma combined financial information has been prepared to give effect to the Prolaio acquisition as if it had been consummated on January 1, 2024, and was prepared using the historical results of Kardigan and Prolaio for the three and six months ended June 30, 2025 (in thousands): </w:t>
      </w:r>
    </w:p>
    <w:p>
      <w:pPr>
        <w:pStyle w:val="TextBody"/>
        <w:bidi w:val="0"/>
        <w:jc w:val="left"/>
        <w:rPr/>
      </w:pPr>
      <w:r>
        <w:rPr/>
        <w:t> </w:t>
      </w:r>
    </w:p>
    <w:tbl>
      <w:tblPr>
        <w:tblW w:w="5456" w:type="dxa"/>
        <w:jc w:val="left"/>
        <w:tblInd w:w="0" w:type="dxa"/>
        <w:tblLayout w:type="fixed"/>
        <w:tblCellMar>
          <w:top w:w="28" w:type="dxa"/>
          <w:left w:w="28" w:type="dxa"/>
          <w:bottom w:w="28" w:type="dxa"/>
          <w:right w:w="28" w:type="dxa"/>
        </w:tblCellMar>
      </w:tblPr>
      <w:tblGrid>
        <w:gridCol w:w="766"/>
        <w:gridCol w:w="146"/>
        <w:gridCol w:w="379"/>
        <w:gridCol w:w="1324"/>
        <w:gridCol w:w="298"/>
        <w:gridCol w:w="262"/>
        <w:gridCol w:w="461"/>
        <w:gridCol w:w="1609"/>
        <w:gridCol w:w="21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(43,085</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 forma amounts have been adjusted for: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transaction costs of $1.0</w:t>
      </w:r>
      <w:r>
        <w:rPr>
          <w:color w:val="000000"/>
        </w:rPr>
        <w:t xml:space="preserve"> </w:t>
      </w:r>
      <w:r>
        <w:rPr>
          <w:rFonts w:ascii="Times New Roman" w:hAnsi="Times New Roman"/>
          <w:color w:val="000000"/>
          <w:sz w:val="20"/>
        </w:rPr>
        <w:t xml:space="preserve">million were excluded from the six months ended June 30, 2025 pro forma results, as if these costs were incurred during the 2024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gain on bargain purchase of $5.2</w:t>
      </w:r>
      <w:r>
        <w:rPr>
          <w:color w:val="000000"/>
        </w:rPr>
        <w:t xml:space="preserve"> </w:t>
      </w:r>
      <w:r>
        <w:rPr>
          <w:rFonts w:ascii="Times New Roman" w:hAnsi="Times New Roman"/>
          <w:color w:val="000000"/>
          <w:sz w:val="20"/>
        </w:rPr>
        <w:t xml:space="preserve">million was excluded from the six months ended June 30, 2025 pro forma results, as if such gain was recognized during the 2024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income tax benefit of $4.2</w:t>
      </w:r>
      <w:r>
        <w:rPr>
          <w:color w:val="000000"/>
        </w:rPr>
        <w:t xml:space="preserve"> </w:t>
      </w:r>
      <w:r>
        <w:rPr>
          <w:rFonts w:ascii="Times New Roman" w:hAnsi="Times New Roman"/>
          <w:color w:val="000000"/>
          <w:sz w:val="20"/>
        </w:rPr>
        <w:t xml:space="preserve">million was excluded from the six months ended June 30, 2025 pro forma results, as if such benefit was recognized during the 2024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incremental stock-based compensation expense related to the accelerated vesting of Prolaio options upon acquisition of $1.6</w:t>
      </w:r>
      <w:r>
        <w:rPr>
          <w:color w:val="000000"/>
        </w:rPr>
        <w:t xml:space="preserve"> </w:t>
      </w:r>
      <w:r>
        <w:rPr>
          <w:rFonts w:ascii="Times New Roman" w:hAnsi="Times New Roman"/>
          <w:color w:val="000000"/>
          <w:sz w:val="20"/>
        </w:rPr>
        <w:t xml:space="preserve">million was excluded from the six months ended June 30, 2025 pro forma results, as if this expense was incurred during the 2024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incremental intangible assets amortization expense resulting from the fair value adjustment recognized for developed technology in the amount of $0.6</w:t>
      </w:r>
      <w:r>
        <w:rPr>
          <w:color w:val="000000"/>
        </w:rPr>
        <w:t xml:space="preserve"> </w:t>
      </w:r>
      <w:r>
        <w:rPr>
          <w:rFonts w:ascii="Times New Roman" w:hAnsi="Times New Roman"/>
          <w:color w:val="000000"/>
          <w:sz w:val="20"/>
        </w:rPr>
        <w:t>million was included in six months ended June 30, 2025 pro forma results;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incremental stock-based compensation expense related to the integration bonus of $14.4</w:t>
      </w:r>
      <w:r>
        <w:rPr>
          <w:color w:val="000000"/>
        </w:rPr>
        <w:t xml:space="preserve"> </w:t>
      </w:r>
      <w:r>
        <w:rPr>
          <w:rFonts w:ascii="Times New Roman" w:hAnsi="Times New Roman"/>
          <w:color w:val="000000"/>
          <w:sz w:val="20"/>
        </w:rPr>
        <w:t>million was excluded from the three and six months ended June 30, 2025 pro forma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immaterial inter-company transactions between the Company and Prolaio during the six months ended June 30, 2025 were eliminated.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no revenue for the three and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 forma data is presented for informational purposes only and is not intended to represent or be indicative of the results of operations that would have been reported had the acquisition occurred on that date, nor is it intended to be representative of future results of operations of the combined company. </w:t>
      </w:r>
    </w:p>
    <w:p>
      <w:pPr>
        <w:pStyle w:val="TextBody"/>
        <w:bidi w:val="0"/>
        <w:spacing w:before="360" w:after="283"/>
        <w:jc w:val="left"/>
        <w:rPr>
          <w:rFonts w:ascii="Times New Roman" w:hAnsi="Times New Roman"/>
          <w:sz w:val="20"/>
        </w:rPr>
      </w:pPr>
      <w:r>
        <w:rPr>
          <w:rFonts w:ascii="Times New Roman" w:hAnsi="Times New Roman"/>
          <w:i/>
          <w:color w:val="000000"/>
          <w:sz w:val="20"/>
        </w:rPr>
        <w:t>Acquired developed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Developed technology acquired consists of the cardiovascular analytics data platform originally obtained by Prolaio in November 2023 through its purchase of certain assets from PhysIQ (defined below). Subsequent to the asset purchase and prior to the Company’s acquisition of Prolaio, Prolaio’s engineering team enhanced the acquired technology and expanded the platform capabilities through the addition of new features and functional improvements.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the Acquisition Date, the fair value of the developed technology was estimated using the cost method, which incorporates management’s estimates of the costs that would be incurred to develop the technology from scratch, including assumptions regarding required personnel, annual compensation, and the expected development timeline. The Company estimated that it would require approximately 3.7 years for a team of approximately 50 employees, with an estimated average annual cost ranging from $0.1 million to $0.2 million per employee, to recreate the technology, resulting in a total valuation of $25.4 million.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Prolaio contingent milestone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consideration transferred in the acquisition, the Company was required to make contingent cash payments up to $200.0 million, dependent upon the achievement of certain specified post-closing operational, financial and regulatory milestones (“Prolaio milestones”) prior to February 2029. Specifically, Prolaio milestones depended on the success of the Company’s clinical trials, achievement of certain Prolaio revenue targets (excluding intercompany revenue), and adoption and performance of the Prolaio platform. The fair value of the Prolaio Contingent Consideration at the acquisition date was $4.6 million. It was estimated using a probability weighted discounted cash flow model, which incorporated management’s estimates of the probability and timing of milestone achievement as of the acquisition date. The milestones were contractually required to be achieved within four years from the date of acquisition, discounted at a rate of approximately 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 2026, the Company entered into an amendment to the Agreement and Plan of Merger with the former stockholders of Prolaio in order to amend the milestone provisions applicable to such stockholders, including Mr. Gianakakos and Dr. Edelberg (“Prolaio amendment”). In particular, the milestones were revised to: (i) better align the incentives of the former stockholders of Prolaio, Inc., in their capacities as executive officers and employees of Kardigan, with the creation of stockholder value for the Company; and (ii) better reflect the Company’s current operations and strategic direction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acquisition, including the Company’s focus on deploying the Prolaio platform in support of its own clinical trials, and (iii) ensure that the milestones remained aligned with the Company’s business. Pursuant to the amendment and subject to the conditions therein, the former stockholders of Prolaio, Inc., including Mr. Gianakakos and Dr. Edelberg, are entitled to milestone payments based on certain Company valuations, as defined in the agreement, as follows: (i) up to $50 million upon the Company’s achievement of a valuation equal to or greater than $5.0 billion; (ii) up to $50 million upon the Company’s achievement of a valuation equal to or greater than $6.0 billion; and (iii) up to $100 million upon the Company’s achievement of a valuation equal to or greater than $12.0 billion; in each case to the extent such milestones are achieved on or before May 1, 2032. If such milestone payments become payable in full, Mr. Gianakakos is entitled to receive payments of up to $12.9 million, $31.3 million and $62.4 million, respectively, pursuant to each milestone, for a total of up to $106.6 million; and Dr. Edelberg is entitled to receive payments of up to $3.6 million, $9.8 million, and $19.5 million, respectively, pursuant to each milestone, for a total of up to $32.9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of the Prolaio milestones, original or amended, have been achieved and no milestone payments have been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Prolaio contingent payments are classified as Level 3 within the fair value hierarchy, due to the use of significant unobservable inputs and remeasured at fair value at each reporting date. Prior to the Prolaio amendment, changes in the fair value of the contingent consideration were recognized in R&amp;D expenses in the condensed consolidated statements of operations and comprehensive loss. Subsequent to the Prolaio amendment, changes in the fair value of the contingent milestone liabilities are recognized in change in fair value of contingent milestone liabilities, in the condensed consolidated statements of operations and comprehensive loss. The fair value of the Prolaio Contingent Consideration was $3.8 million as of December 31, 2025. Upon the Prolaio amendment, on May 1, 2026, the Prolaio Contingent Consideration was settled and the new contingent milestone liabilities were recognized at an initial fair value of $13.7 million. The fair value of the contingent milestone liabilities was $47.3 million as of June 30, 2026. The Company recognized a $43.5 million increase in the fair value of contingent milestone liabilities, which is presented within change in fair value of contingent milestone liabilities in the condensed consolidated statements of operations, for both the three and six months ended June 30, 2026. No change in fair value was recorded in the three and six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PhysIQ contingent consideration (assumed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assumed as part of the Company’s acquisition of Prolaio included a contingent consideration liability associated with Prolaio’s historical acquisition of certain assets of PhysIQ, Inc. (“PhysIQ contingent consideration”), a health technology company specializing in cloud-based predictive analytics for personalized physiology. The obligation of up to $20.0 million, payable in cash, is contingent upon the achievement of certain sales milestones (“PhysIQ milestones”).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the acquisition date, the Company recognized this contingent consideration at fair value using a probability-weighted approach, which incorporates management’s estimates of the probability and timing of milestone achievement. The milestones are expected to be achieved within 4 years from the date of acquisition of Prolaio, and are discounted at a rate of approximately 10%. The estimated fair value of the PhysIQ contingent consideration at the acquisition date was $3.3 million, which was recorded within contingent milestone liabilities on the condensed consolidated balance sheet.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acquisition date, the Company applies a systematic and rational approach and recognizes additional amounts related to the PhysIQ contingent consideration when the underlying milestones are considered probable of achievement and reasonably estimable. Amounts are written off only when it is resolved that the Company will not be required to make payment or when the obligation legally expires. As such, the PhysIQ contingent consideration recorded will not be reduced below the amount recorded at the acquisition date until the obligation expires or the liability is 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PhysIQ contingent consideration was $3.9 million as of June 30, 2026 and December 31, 2025. The Company recorded no expense in the condensed consolidated statement of operations and comprehensive loss for the three and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the milestone with a value of $2.5 million was considered probable of achievement and was expected to be achieved within 12 months of the reporting date. Accordingly, it was classified within current liabilities on the condensed consolidated balance sheet as of December 31, 2025. As of June 30, 2026, this milestone was still considered probable of achievement but was expected to be achieved within more than 12 months of the reporting date, and, accordingly, was classified within non-current liabilities on the condensed consolidated balance sheet. As of June 30, 2026, no milestone payments have been made.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Prolaio bonus integration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Concurrent with the acquisition of Prolaio, the Company entered into agreements (the “Bonus Agreements”) with the Company’s Chief Executive Officer and Chief Medical Officer, that provided a right to a bonus in the amount of $9.0 million and $2.0 million, respectively, of shares of common stock issued in our initial public offering or convertible preferred stock, as applicable, as well as additional cash amounts intended to cover related federal, state, and local tax obligations. The Bonus Agreements also provided that, if the equity securities issued were not freely tradeable, the Company would loan each executive an amount sufficient to cover applicable tax obligations. The awards were contingent upon the closing and successful integration of Prolaio, as determined by the Company’s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Bonus Agreements became payable upon completion of the Series B Initial Closing (as defined below). On September 4, 2025, in connection with the Series B Initial Closing, the Company entered into bonus integration agreements (the “Bonus Integration Agreements”) with each executive. The Bonus Integration Agreements modified the Bonus Agreements such that (i) each recipient agreed to forfeit Series B Preferred Stock (as defined below) to satisfy the tax withholding obligations, (ii) certain payments required to be made under the Bonus Agreements would be remitted to federal and state tax authorities via payroll for certain tax liabilities required to be satisfied by us through payroll and (iii) no loan will be issued to the recipient. Pursuant to the Bonus Integration Agreements, and net of tax withholding obligations, on September 4, 2025, the Company issued an aggregate of 374,360 shares of Series B Preferred Stock, with an estimated grant date fair value of approximately $8.0 million, and subsequently remitted approximately $6.4 million in cash to satisfy the related tax obligations.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the integration bonus payment was contingent upon post-combination services, the arrangement was accounted for as compensation. The integration bonus was deemed probable as of June 30, 2025, and the Company recognized related compensation expense of $2.6 million within research and development expenses and $11.7 million within general and administrative expenses in the three and six months ended June 30, 2025 in the condensed consolidated statement of operations and comprehensive loss. No related compensation expense was recognized in the three and six months ended June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 of RSF</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6, 2024, the Company acquired 100% of the outstanding shares of Rancho Santa Fe Bio, Inc. (“RSF”) in order to obtain certain of RSF’s existing intellectual properties, including (i) a license agreement relating to Ataciguat (i.e., HMR1766) with Sanofi (“Sanofi”); and (ii) a patent license and know-how agreement with the Mayo Foundation for Medical Education and Research (“Mayo”). Total consideration was $14.8 million, and included cash of $3.5 million, the settlement of RSF’s outstanding indebtedness of $10.6 million on the acquisition date and the payment of certain transaction costs of $0.7 million incurred by RSF. In addition, the former stockholders of RSF are entitled to milestone payments of up to $26.5 million in development and regulatory milestones and up to $249.5 million in sales milestones (“RSF milestones”), in each case to be allocated among such former stockholders on a pro rata basis in accordance with their respective ownership interests in RSF immediately prior to the acquisition. The Company is additionally obligated to pay to the former stockholders of RSF low single-digit royalties on worldwide net sales of any pharmaceutical product containing Ataciguat.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ASC 805, the Company determined that the acquisition did not meet the definition of a business at the time of the acquisition as substantially all of the fair value of the gross assets acquired were concentrated in a single identifiable asset. The Company determined that RSF was a variable interest entity (“VIE”) under ASC 810 because it lacked sufficient equity to finance its activities. Upon acquisition, the Company became the primary beneficiary of RSF, and therefore was required to consolidate RSF. Accordingly, the transaction was accounted for as the acquisition of a VIE that is not a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net assets acquired consisted primarily of the IPR&amp;D asset, cash and cash equivalents in the amount of $0.2 million, and assumed accounts payable for an amount of $1.3 million. Accordingly, the consideration allocated to the IPR&amp;D asset amounted to $15.9 million. The acquired licensed technology was determined to be an IPR&amp;D asset that did not have alternative future use as of the acquisition date, and the full amount was recognized as R&amp;D expense in the condensed consolidated statement of operations and comprehensive loss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achieved the first development milestone associated with Ataciguat upon dosing of the first patient in the Phase 3 clinical trial in September 2025. This milestone triggered a payment obligation of $3.0 million. In September 2025, $1.5 million was settled in cash, and the remaining $1.5 million was accrued for in the Company’s condensed consolidated balance sheet as of December 31, 2025 and as of June 30, 2026 within accrued and other current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of the other RSF milestones have been achieved nor were deemed probable and estimable as of June 30, 2026, and no other milestone payments have been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Sanofi and the Mayo agreements, the Company is obligated to make certain additional milestone, royalty and sublicense-related payments under these agreements, summarized further below. </w:t>
      </w:r>
    </w:p>
    <w:p>
      <w:pPr>
        <w:pStyle w:val="TextBody"/>
        <w:bidi w:val="0"/>
        <w:spacing w:before="360" w:after="283"/>
        <w:jc w:val="left"/>
        <w:rPr>
          <w:rFonts w:ascii="Times New Roman" w:hAnsi="Times New Roman"/>
          <w:sz w:val="20"/>
        </w:rPr>
      </w:pPr>
      <w:r>
        <w:rPr>
          <w:rFonts w:ascii="Times New Roman" w:hAnsi="Times New Roman"/>
          <w:i/>
          <w:color w:val="000000"/>
          <w:sz w:val="20"/>
        </w:rPr>
        <w:t>License agreement with Sanofi</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 2021, RSF entered into a license agreement with Sanofi, as subsequently amended on March 18, 2022, January 9, 2023, and November 7, 2025 (collectively, the “Sanofi License”), under which RSF received a worldwide, exclusive, sublicensable (subject to certain conditions and restrictions), royalty-bearing license under certain Sanofi know-how to exploit Ataciguat and pharmaceutical products containing Ataciguat (“Ataciguat Products”) for all human and mammalian therapeutic, prophylactic and diagnostic uses (the “Sanofi License Field”).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Company succeeds in developing and commercializing Ataciguat Products, it will be obligated to pay Sanofi up to an aggregate of $14.8 million in potential commercial milestone payments (“Sanofi milestones”). The Company is also obligated to pay Sanofi tiered royalties ranging from low-single digit to mid-single digit percentages on worldwide annual net sales of Ataciguat Products by the Company or its affiliates and sublicensees.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none of the Sanofi milestones had been achieved nor were deemed probable and estimable, and no milestone payments have been made. </w:t>
      </w:r>
    </w:p>
    <w:p>
      <w:pPr>
        <w:pStyle w:val="TextBody"/>
        <w:bidi w:val="0"/>
        <w:spacing w:before="360" w:after="283"/>
        <w:jc w:val="left"/>
        <w:rPr>
          <w:rFonts w:ascii="Times New Roman" w:hAnsi="Times New Roman"/>
          <w:sz w:val="20"/>
        </w:rPr>
      </w:pPr>
      <w:r>
        <w:rPr>
          <w:rFonts w:ascii="Times New Roman" w:hAnsi="Times New Roman"/>
          <w:i/>
          <w:color w:val="000000"/>
          <w:sz w:val="20"/>
        </w:rPr>
        <w:t>Patent license and know-how agreement with the Mayo Foundation for Medical Education and Research (“Mayo”)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6, 2019, RSF entered into a license agreement with Mayo, as amended on May 20, 2021, August 23, 2023, March 10, 2024, June 6, 2024 and December 22, 2025 (collectively, the “Mayo License”), under which RSF received (i) a worldwide exclusive license with the right to sublicense (through multiple tiers) under certain Mayo patent rights, (ii) a nonexclusive license with the right to sublicense (through multiple tiers in connection with a sublicense of the Mayo patent rights or know-how) to use certain know-how and materials, and (iii) a nonexclusive worldwide license, with the right to sublicense (through multiple tiers), subject to approval from Mayo, to use certain Mayo data, in each case in (i) through (iii), to develop, make, have made, use, offer for sale, sell, and import certain licensed products, including Ataciguat, for the prevention, diagnosis, and/or treatment of any and all human diseases and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obligated to pay Mayo up to $0.3 million in development and regulatory milestone payments and up to $1.3 million in commercial milestone payments (“Mayo milestones”) for each licensed product. The Company is also obligated to pay Mayo royalties ranging from a mid-single digit to subteen percentage of worldwide annual net sales by the Company, its affiliates and sublicensees of licensed products. In the event that the Company is required to pay a non-affiliate third party certain consideration for a license under intellectual property rights owned or controlled by such non-affiliate third party that are required for the manufacture, use or sale of the licensed products, the Company can deduct a certain amount of such consideration from the royalty payments due to Mayo under the Mayo License, subject to a customary reduction floor. The Company’s obligation to pay Mayo royalties for licensed products will expire upon the expiration date of the last to expire of the licensed patents or the last to expire regulatory exclusivity for a licensed product. Mayo is also eligible to receive a mid-double digit percentage of certain non-royalty sublicense income as well as a certain percentage of any consideration received by the Company for the sale or transfer of an FDA priority review voucher or similar transferable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none of the Mayo milestones had been achieved nor were deemed probable and estimable, and no milestone payments have been made. </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 with Ionis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7, 2024, the Company entered into a License Agreement (the “Ionis License Agreement”) with Ionis Pharmaceuticals, Inc. (“Ionis”), pursuant to which the Company was granted an exclusive, worldwide, sublicensable (subject to certain conditions and restrictions), royalty-bearing license under certain Ionis intellectual property to develop and commercialize Tonlamarsen (formerly ION904) and products containing Tonlamarsen (the “Licensed Ionis Products”) in the field of prophylactic or therapeutic use in humans (the “Ionis Licensed Field”). The Company also received a non-exclusive, worldwide, sublicensable (subject to certain conditions and restrictions), royalty-bearing license under certain Ionis intellectual property to manufacture Tonlamarsen and Licensed Ionis Products in the Ionis Licensed Field. Until the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anniversary of the effective date of the Ionis License Agreement, or June 2027, neither party may develop or commercialize, or assist or grant a third party rights to develop or commercialize certain ASOs designed to bind to the RNA encoded by the human angiotensinogen gene, subject to certain conditions and exceptions.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initial consideration for the Ionis License Agreement, the Company made an upfront payment of $20.0 million to Ionis. As additional consideration for the licenses and rights granted to us by Ionis, the Company is required to pay Ionis: (i) milestone payments in the event of successful achievement of specified development, regulatory and sales milestones of up to an aggregate of $375.0 million (up to $35.0 million in development and regulatory milestone payments and up to $340.0 million in sales milestone payments) (“Ionis milestones”); (ii) tiered royalties on net sales of Ionis Licensed Products by the Company, its affiliates and sublicensees with a rate based on net sales per calendar year, ranging from a subteen percentage to high teen percentage. The royalties are subject to potential reductions under certain scenarios. In the event that the Company undergoes a change of control prior to receiving regulatory approval from the FDA and are acquired by one of certain top biopharmaceutical or pharmaceutical companies, if the acquisition price exceeds a certain dollar value, the Company will be required to pay Ionis a one-time change of control payment based on the acquisition price, ranging in the low tens of millions of dollars. The payment will accrue interest at a subteen percentage rate per annum, compounded annually, from the date of the Ionis License Agreement through the date such payment is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determined that the licenses represent an acquired IPR&amp;D asset that did not have alternative future use as of the acquisition date, and, accordingly, the total amount of the upfront payment of $20.0 million was recognized as R&amp;D expense in the condensed consolidated statement of operations and comprehensive loss for the year ended December 31, 2024. As of June 30, 2026, none of the Ionis milestones had been achieved nor were deemed probable and estimable, and no milestone payments have been made. </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agreements with BMS Co.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Company entered into a License Agreement with MyoKardia, Inc. (“MyoKardia”), a wholly-owned subsidiary of Bristol-Myers Squibb Company (“BMS Co.”), related to Danicamtiv and other compounds (the “Dani Agreement”), and a separate License Agreement with BMS Co. related to KAR-141 (formerly known as BMS-986141) (“Par4”) and other compounds (the “Par4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Dani Agreement, the Company received an exclusive, sublicensable (subject to certain conditions and restrictions), royalty-bearing license under certain MyoKardia patents and know-how to develop, manufacture, and commercialize Danicamtiv (formerly known as MYK-491) and certain related compounds (collectively, the “Dani Licensed Compounds”) and pharmaceutical products containing such Dani Licensed Compounds (the “Dani Licensed Products”) for all human uses worldwide.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partial consideration for the rights granted to the Company under the Dani Agreement, the Company entered into a Subscription Agreement with MyoKardia pursuant to which the Company issued 1,251,107 shares of Series A Preferred Stock to MyoKardia. As additional consideration for the licenses granted under the Dani Agreement, the Company is required to pay MyoKardia: (i) tiered royalties at a rate based on aggregate annual net sales by the Company, its affiliates and sublicensees of each Dani Licensed Product containing the same Dani Licensed Compound; (ii) a low double-digit percentage of any sublicensing revenue received by the Company, if the Company sublicenses rights under MyoKardia patents or know-how for the development, manufacture or commercialization of any Dani Lead Compound or Dani Lead Compound Licensed Product to a third-party within a certain number of months from the effective date, or November 2026; (iii) up to $42.5 million in the aggregate in development and regulatory milestone payments across all Dani Licensed Products and (iv) up to $265.0 million in sales milestone payments for each of the first two Dani Licensed Products to achieve the applicable sales milestones ((iii) and (iv), collectively, “Dani milestones”). The Company’s tiered royalties range from a subteen to high teen percentage of annual net sales of the Dani Licensed Products, subject to potential reductions following the expiration of valid patent claims, due to competition from generic products, for certain third-party license fees, and in the event of a limit on the maximum price as a result of the Inflation Reduction Act of 2022 (the “Inflation Reduction Act”), subject to a customary reduction floor and potential carry forward.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Par4 Agreement, the Company received an exclusive, sublicensable (subject to certain conditions and restrictions), royalty-bearing license under certain BMS Co. patents and know-how to develop, manufacture, and commercialize KAR-141 and certain related compounds thereto (the “Par4 Lead Compounds”), certain back-up compounds and certain related compounds thereto (such compounds, collectively, with the Par4 Lead Compounds, the “Par4 Licensed Compounds”, pharmaceutical products containing the Par4 Lead Compounds (the “Par4 Lead Compound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Products”) and pharmaceutical products containing the Par4 Back-Up Compounds (such products, collectively with the Par4 Lead Compound Licensed Products, the “Par4 Licensed Products” for all human uses worldwide.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partial consideration for the rights granted under the Par4 Agreement, the Company issued 293,469 shares of Series A Preferred Stock. As additional consideration for the licenses granted under the Par4 Agreement, the Company is required to pay BMS Co.: (i) tiered royalties at a rate based on aggregate annual net sales by the Company, its affiliates and sublicensees of each Par4 Licensed Product containing the same Par4 Licensed Compound; (ii) a low double-digit percentage of any sublicensing revenue received by the Company, if the Company sublicenses rights under BMS Co. patents or know-how for the development, manufacture or commercialization of any Par4 Lead Compound or Par4 Lead Compound Licensed Product to a third-party a certain number of months from the effective date, or November 2026; (iii) up to $10.0 million in the aggregate in development and regulatory milestone payments across all Par4 Licensed Products and (iv) up to $265.0 million in sales milestone payments for each of the first two Par4 Licensed Products to achieve the applicable sales milestones ((iii) and (iv), collectively, “Par4 milestones”). The Company’s tiered royalties range from a subteen to high teen percentage of annual net sales of the Par4 Licensed Products, subject to potential reductions following the expiration of valid patent claims, due to competition from generic products, for certain third-party license fees, and in the event of a limit on the maximum price as a result of the Inflation Reduction Act, subject to a customary reduction floor and potential carry-forward. Additionally, certain BMS Co. patents and know-how are sublicensed by BMS Co. pursuant to an upstream license agreement with a university and the Company is responsible for reimbursing BMS Co. for certain milestone payments and other amounts payable under such upstream agreement that arise from its development, manufacturing or commercialization activities under the Par4 Agreement. The milestone reimbursement obligations include up to (i) $12.5 million in the aggregate in development and regulatory milestone payments per certain Par4 Licensed Products and (ii) $13.625 million in the aggregate in development and regulatory milestone payments per certain other Par4 Licensed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license agreements, the Company issued an aggregate of 1,544,576 shares of Series A Preferred Stock to MyoKardia and BMS Co., including 1,251,107 shares of Series A Preferred Stock under the Dani Agreement, and 293,469 shares of Series A Preferred Stock under Par4 Agreement, at the estimated fair value of $19.10 per share as of issuance date, with a total estimated fair value of $29.5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determined that the Dani and Par4 licenses represent acquired IPR&amp;D assets that did not have alternative future use as of the acquisition date, and, accordingly, an amount of $29.5 million was recognized as R&amp;D expense in the consolidated statement of operations and comprehensive loss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none of the Dani milestones or Par4 milestones had been achieved nor were deemed probable or estimable, and no milestone payments have been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Company's initial public offering, all outstanding shares of the Company's redeemable convertible preferred stock converted into an equivalent number of shares of common stock, after giving effect to the forward stock split.</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intangible assets, net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0"/>
        <w:gridCol w:w="146"/>
        <w:gridCol w:w="211"/>
        <w:gridCol w:w="676"/>
        <w:gridCol w:w="146"/>
        <w:gridCol w:w="146"/>
        <w:gridCol w:w="270"/>
        <w:gridCol w:w="811"/>
        <w:gridCol w:w="166"/>
        <w:gridCol w:w="146"/>
        <w:gridCol w:w="236"/>
        <w:gridCol w:w="758"/>
        <w:gridCol w:w="146"/>
        <w:gridCol w:w="146"/>
        <w:gridCol w:w="211"/>
        <w:gridCol w:w="676"/>
        <w:gridCol w:w="146"/>
        <w:gridCol w:w="146"/>
        <w:gridCol w:w="270"/>
        <w:gridCol w:w="811"/>
        <w:gridCol w:w="166"/>
        <w:gridCol w:w="146"/>
        <w:gridCol w:w="236"/>
        <w:gridCol w:w="758"/>
        <w:gridCol w:w="395"/>
      </w:tblGrid>
      <w:tr>
        <w:trPr/>
        <w:tc>
          <w:tcPr>
            <w:tcW w:w="2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23,225</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Developed technology primarily consists of the cardiovascular analytics data platform originally recognized upon acquisition of Prolaio, Inc. during the three months ended June 30, 2025. The developed technology, with a gross carrying amount of $25.4 million, was assigned an estimated useful life of seven years. The acquired IPR&amp;D assets, also recognized upon the Prolaio acquisition, and presented within the other category, were initially classified as indefinite-lived intangible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assets. By December 31, 2025, the Company determined that the underlying projects had reached technological feasibility and accordingly reclassified these assets as finite-lived intangible assets with an estimated useful life of three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to the Prolaio acquisition, the Company’s engineering team continued to enhance the acquired technology and expand the platform capabilities through the addition of new features and functional improvements. The Company capitalizes certain qualifying costs related to the development of computer software for internal use. The Company capitalized internal-use software costs totaling $5.4 million for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Capitalized internal-use software costs related to the development of the Prolaio platform are included within the developed technology category and amounted to $4.4 million for the six months ended June 30, 2026. Capitalized internal-use software costs related to other development projects are included within the other category, and amounted to $1.0 million for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 other finite-lived intangible assets category includes $2.8 million of software development costs related to projects not yet placed in service. No amortization expense was recorded in relation to these costs for the three and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expense related to finite-lived intangible assets was $1.1 million, $2.2 million for the three and six months ended June 30, 2026, and $1.0 million and $1.3 million for the three and six months ended June 30, 2025, respectively, and was primarily included in R&amp;D expenses on the condensed consolidated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estimated future amortization expense associated with the finite-lived intangible assets as of June 30, 2026 (in thousands): </w:t>
      </w:r>
    </w:p>
    <w:p>
      <w:pPr>
        <w:pStyle w:val="TextBody"/>
        <w:bidi w:val="0"/>
        <w:jc w:val="left"/>
        <w:rPr/>
      </w:pPr>
      <w:r>
        <w:rPr/>
        <w:t> </w:t>
      </w:r>
    </w:p>
    <w:tbl>
      <w:tblPr>
        <w:tblW w:w="4915" w:type="dxa"/>
        <w:jc w:val="left"/>
        <w:tblInd w:w="0" w:type="dxa"/>
        <w:tblLayout w:type="fixed"/>
        <w:tblCellMar>
          <w:top w:w="28" w:type="dxa"/>
          <w:left w:w="28" w:type="dxa"/>
          <w:bottom w:w="28" w:type="dxa"/>
          <w:right w:w="28" w:type="dxa"/>
        </w:tblCellMar>
      </w:tblPr>
      <w:tblGrid>
        <w:gridCol w:w="3691"/>
        <w:gridCol w:w="146"/>
        <w:gridCol w:w="211"/>
        <w:gridCol w:w="676"/>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(six months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estimated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June 30, 2026 and December 31, 2025, there were no accumulated impairment losses related to intangible assets. </w:t>
      </w:r>
    </w:p>
    <w:p>
      <w:pPr>
        <w:pStyle w:val="TextBody"/>
        <w:bidi w:val="0"/>
        <w:spacing w:before="360" w:after="283"/>
        <w:jc w:val="left"/>
        <w:rPr>
          <w:rFonts w:ascii="Times New Roman" w:hAnsi="Times New Roman"/>
          <w:sz w:val="20"/>
        </w:rPr>
      </w:pPr>
      <w:r>
        <w:rPr>
          <w:rFonts w:ascii="Times New Roman" w:hAnsi="Times New Roman"/>
          <w:b/>
          <w:color w:val="000000"/>
          <w:sz w:val="20"/>
        </w:rPr>
        <w:t>7.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and laboratory spaces which are classified as operating leases on the condensed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Cove Lease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2024, the Company entered into a facility lease in South San Francisco, California (the “Cove Lease”), for approximately 36,000 rentable square feet. The lease commenced in October 2024 and has a contractual term of 66 full calendar months, expiring in April 2030. The Cove Lease includes an option to extend the lease term for an additional five years. At lease commencement, the Company evaluated the renewal option and concluded that it is not reasonably certain that the renewal option will be exercised.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Cove Lease, the landlord has made available a tenant improvement allowance of up to $0.7 million for qualifying permanent improvements to the leased premises. The allowance is structured as a landlord-funded improvement option that, if utilized, becomes subject to repayment by the Company as additional rent over the remaining lease term at a contractually specified interest rate. As of the reporting date, the Company has not elected to utilize any portion of the allowance, has not incurred any qualifying improvement expenditures, and has not received any landlord-initiated improvements requiring reimbursement. Accordingly, no related adjustments to ROU asset or lease liability have been recognized in the Company’s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Princeton Lease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the Company entered into an office space lease for approximately 21,500 square feet in Princeton, New Jersey (the “Princeton Lease”). The lease commenced in September 2025 and has a contractual term of 90 full calendar months, expiring in March 2033. The Princeton Lease includes an option to extend the lease term for an additional five years. At lease commencement, the Company evaluated the renewal option and concluded that it is not reasonably certain that the renewal option will be exercised.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 with the execution of the Princeton lease, the Company executed a temporary swing-space lease, that provided approximately 9,000 square feet of office space in its ‘as is’ condition to support business operations while the main premises underwent landlord-performed improvements. The swing-space lease commenced in February 2025 and ended in September 2025 when the Company took possession of the main Princeton Lease premises. The arrangement met the definition of a lease under ASC 842 and qualified as a separate lease, however it met the short-term lease exemption criteria. Accordingly, the Company recognized lease expense for the swing-space as incurred, with no recognition of a ROU asset or lease liability for this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maintains letters of credit related to the above leases totaling $0.5 million and $0.5 million as of June 30, 2026 and December 31, 2025, respectively. These lease-related letters of credit are reflected within restricted cash, non-current on the Company’s condensed consolidated balance sheets as of June 30, 2026 and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lease expenses, which are included in operating expenses in the condensed consolidated statements of operations and comprehensive loss, were as follows (in thousands): </w:t>
      </w:r>
    </w:p>
    <w:p>
      <w:pPr>
        <w:pStyle w:val="TextBody"/>
        <w:bidi w:val="0"/>
        <w:jc w:val="left"/>
        <w:rPr/>
      </w:pPr>
      <w:r>
        <w:rPr/>
        <w:t> </w:t>
      </w:r>
    </w:p>
    <w:tbl>
      <w:tblPr>
        <w:tblW w:w="7091" w:type="dxa"/>
        <w:jc w:val="left"/>
        <w:tblInd w:w="0" w:type="dxa"/>
        <w:tblLayout w:type="fixed"/>
        <w:tblCellMar>
          <w:top w:w="28" w:type="dxa"/>
          <w:left w:w="28" w:type="dxa"/>
          <w:bottom w:w="28" w:type="dxa"/>
          <w:right w:w="28" w:type="dxa"/>
        </w:tblCellMar>
      </w:tblPr>
      <w:tblGrid>
        <w:gridCol w:w="2131"/>
        <w:gridCol w:w="146"/>
        <w:gridCol w:w="280"/>
        <w:gridCol w:w="758"/>
        <w:gridCol w:w="193"/>
        <w:gridCol w:w="193"/>
        <w:gridCol w:w="280"/>
        <w:gridCol w:w="559"/>
        <w:gridCol w:w="146"/>
        <w:gridCol w:w="146"/>
        <w:gridCol w:w="235"/>
        <w:gridCol w:w="637"/>
        <w:gridCol w:w="162"/>
        <w:gridCol w:w="162"/>
        <w:gridCol w:w="235"/>
        <w:gridCol w:w="637"/>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Supplemental disclosure of cash flow information related to leases was as follows (in thousands): </w:t>
      </w:r>
    </w:p>
    <w:p>
      <w:pPr>
        <w:pStyle w:val="TextBody"/>
        <w:bidi w:val="0"/>
        <w:jc w:val="left"/>
        <w:rPr/>
      </w:pPr>
      <w:r>
        <w:rPr/>
        <w:t> </w:t>
      </w:r>
    </w:p>
    <w:tbl>
      <w:tblPr>
        <w:tblW w:w="9283" w:type="dxa"/>
        <w:jc w:val="left"/>
        <w:tblInd w:w="0" w:type="dxa"/>
        <w:tblLayout w:type="fixed"/>
        <w:tblCellMar>
          <w:top w:w="28" w:type="dxa"/>
          <w:left w:w="28" w:type="dxa"/>
          <w:bottom w:w="28" w:type="dxa"/>
          <w:right w:w="28" w:type="dxa"/>
        </w:tblCellMar>
      </w:tblPr>
      <w:tblGrid>
        <w:gridCol w:w="4321"/>
        <w:gridCol w:w="146"/>
        <w:gridCol w:w="322"/>
        <w:gridCol w:w="644"/>
        <w:gridCol w:w="223"/>
        <w:gridCol w:w="223"/>
        <w:gridCol w:w="322"/>
        <w:gridCol w:w="529"/>
        <w:gridCol w:w="146"/>
        <w:gridCol w:w="146"/>
        <w:gridCol w:w="256"/>
        <w:gridCol w:w="693"/>
        <w:gridCol w:w="177"/>
        <w:gridCol w:w="177"/>
        <w:gridCol w:w="256"/>
        <w:gridCol w:w="51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w:t>
              <w:br/>
              <w: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w:t>
              <w:br/>
              <w: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June 30, 2026 and December 31, 2025, the weighted-average remaining lease term for operating leases was 4.7 years and 5.2 years, respectively, and the weighted-average discount rate was 10.04% and 10.02%,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reconciles the undiscounted future minimum lease payments required for the operating leases as of June 30, 2026 (in thousands): </w:t>
      </w:r>
    </w:p>
    <w:p>
      <w:pPr>
        <w:pStyle w:val="TextBody"/>
        <w:bidi w:val="0"/>
        <w:jc w:val="left"/>
        <w:rPr/>
      </w:pPr>
      <w:r>
        <w:rPr/>
        <w:t> </w:t>
      </w:r>
    </w:p>
    <w:tbl>
      <w:tblPr>
        <w:tblW w:w="4935" w:type="dxa"/>
        <w:jc w:val="left"/>
        <w:tblInd w:w="0" w:type="dxa"/>
        <w:tblLayout w:type="fixed"/>
        <w:tblCellMar>
          <w:top w:w="28" w:type="dxa"/>
          <w:left w:w="28" w:type="dxa"/>
          <w:bottom w:w="28" w:type="dxa"/>
          <w:right w:w="28" w:type="dxa"/>
        </w:tblCellMar>
      </w:tblPr>
      <w:tblGrid>
        <w:gridCol w:w="3511"/>
        <w:gridCol w:w="146"/>
        <w:gridCol w:w="211"/>
        <w:gridCol w:w="676"/>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(six months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various agreements in the ordinary course of business, such as those with suppliers, clinical research organizations, contract manufacturing organizations, and clinical trial sites. These agreements provide for termination at the request of either party, generally with less than one-year notice and are, therefore, cancellable contracts and, if cancelled, are not anticipated to have a material effect on the Company’s financial condition, results of operations, or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become involved in legal proceedings arising from the ordinary course of business. The Company accrues a liability for such matters when it is probable that the loss has been incurred and the amount of the loss can be reasonably estimated. Significant judgment is required to determine both probability and the estimated amount. As of June 30, 2026, and December 31, 2025, the Company was not a party to any material legal proceedings. Legal fees are expensed as incurred. </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Company’s amended and restated certificate of incorporation and amended and restated bylaws, the Company has indemnification obligations to its officers and directors for certain events or occurrences, subject to certain limits, while they are serving in such capacity. The Company has not incurred any material indemnification claims to date. The Company maintains directors’ and officers’ liability insurance, which may reduce its exposure in the event of future claims.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milestone and royalty payments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2025 and 2024, the Company entered into certain acquisition and licensing agreements. These agreements include potential future milestone payments, royalties and other contingent consideration, payable upon the achievement of specified development, regulatory and commercial milestones. Refer to Note 5, “</w:t>
      </w:r>
      <w:r>
        <w:rPr>
          <w:rFonts w:ascii="Times New Roman" w:hAnsi="Times New Roman"/>
          <w:i/>
          <w:color w:val="000000"/>
          <w:sz w:val="20"/>
        </w:rPr>
        <w:t>Acquisition and Licensing Agreements”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9. Redeemable 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Redeemable convertible 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previously issued Series A redeemable convertible preferred stock (the “Series A Preferred Stock”), Series B redeemable convertible preferred stock (the “Series B Preferred Stock”) and Series B-1 redeemable convertible preferred stock (the “Series B-1 Preferred Stock”), which are collectively referred to as "Preferred Stock". In connection with the Company's initial public offering, all outstanding shares of the Preferred Stock were converted into an equivalent number of shares of common stock, after giving effect to the forward stock split.</w:t>
      </w:r>
    </w:p>
    <w:p>
      <w:pPr>
        <w:pStyle w:val="TextBody"/>
        <w:bidi w:val="0"/>
        <w:spacing w:before="360" w:after="283"/>
        <w:jc w:val="left"/>
        <w:rPr>
          <w:rFonts w:ascii="Times New Roman" w:hAnsi="Times New Roman"/>
          <w:sz w:val="20"/>
        </w:rPr>
      </w:pPr>
      <w:r>
        <w:rPr>
          <w:rFonts w:ascii="Times New Roman" w:hAnsi="Times New Roman"/>
          <w:b/>
          <w:i/>
          <w:color w:val="000000"/>
          <w:sz w:val="20"/>
        </w:rPr>
        <w:t>Series A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2024, the Company entered into a Series A preferred stock purchase agreement (the “Series A SPA”) under which it issued and sold 2,487,790 shares of Series A Preferred Stock, at a price of $19.42 per share, for gross cash proceeds of $48.3 million (the “Series A Initial Closing”). Contemporaneously, investors converted their Simple Agreements for Future Equity (“SAFEs”) with a principal amount of $0.9 million into 43,762 shares of Series A Preferred Stock, bringing the total number of shares of Series A Preferred Stock issued at the Series A Initial Closing to 2,531,552 shares. An initial additional closing under the Series A SPA occurred in July 2024, at which the Company sold 2,883,206 additional shares of Series A Preferred Stock at a price of $19.42 per share for gross cash proceeds of $56.0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Series A SPA, the Company had an obligation to issue and certain Series A investors were obligated to purchase additional shares in two additional closings of $100.0 million each, subject to the satisfaction of specified milestone and cash-related conditions. The Second Tranche closing was to be funded upon the Company’s successful enrollment of the first patient in a Phase 3 clinical trial of either the Tonlamarsen Product or the Ataciguat Product, whichever occurs first (the “Second Tranche”). The Third Tranche closing was to be funded at the earlier of enrollment of the first patient in a Phase 3 clinical trial or an acquisition of any other clinical-stage pharmaceutical product or compound other than Tonlamarsen Product or Ataciguat Product or compound other than Ataciguat (the “Third Tranche”). Each investor could elect to voluntarily fund their share of the two tranches prior to the achievement of the milestones.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Company determined, that the conditions related to the Third Tranche had become probable of achievement, subject to meeting the required cash-balance condition. In February 2025, following the satisfaction of the cash-balance condition, the Third Tranche closing was consummated, pursuant to which the Company sold 5,148,587 additional shares of Series A Preferred Stock, resulting in total gross cash proceeds of $100.0 million. In August 2025, the condition applicable to the Second Tranche was waived, and the tranche closed, pursuant to which the Company sold 5,148,587 additional shares of Series A Preferred Stock, resulting in additional gross cash proceeds of $100.0 million. </w:t>
      </w:r>
    </w:p>
    <w:p>
      <w:pPr>
        <w:pStyle w:val="TextBody"/>
        <w:bidi w:val="0"/>
        <w:spacing w:before="360" w:after="283"/>
        <w:jc w:val="left"/>
        <w:rPr>
          <w:rFonts w:ascii="Times New Roman" w:hAnsi="Times New Roman"/>
          <w:sz w:val="20"/>
        </w:rPr>
      </w:pPr>
      <w:r>
        <w:rPr>
          <w:rFonts w:ascii="Times New Roman" w:hAnsi="Times New Roman"/>
          <w:i/>
          <w:color w:val="000000"/>
          <w:sz w:val="20"/>
        </w:rPr>
        <w:t>Preferred stock tranche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initial closing of the Series A Preferred Stock, with respect to the Second Tranche, the Company recorded a preferred stock tranche obligation liability of $3.2 million, and, with respect to the Third Tranche, the Company recorded a preferred stock tranche liability of $9.2 million. The fair value of the Series A Preferred Stock tranche obligations was allocated from the gross cash proceeds of the Series A Preferred Stock issuance, and the residual value was then allocated to the Series A Preferred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2024, the fair value of the Second Tranche obligation was estimated as a liability in an amount of $7.3 million, and the fair value of the Third Tranche was estimated as an asset in an amount of $1.7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2025, upon closing of the Third Tranche, the Company remeasured the preferred stock tranche obligation as of the closing date. The estimated fair value of the preferred stock tranche asset in an amount of $1.7 million was settled and the shares of Series A Preferred Stock issued in the Third Tranche were recorded at fair value on the date of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the estimated fair value of the Second Tranche preferred stock tranche liability was $11.2 million. Accordingly, the Company recognized a loss in an amount of $3.9 million which was recorded within change in fair value of preferred stock tranche obligations in its condensed consolidated financial statements. Both the Second and Third Tranches of the Series A Preferred Stock were closed during the year ended December 31, 2025, and accordingly, no change in fair value was recorded for the six months ended June 30, 2026. </w:t>
      </w:r>
    </w:p>
    <w:p>
      <w:pPr>
        <w:pStyle w:val="TextBody"/>
        <w:bidi w:val="0"/>
        <w:spacing w:before="240" w:after="283"/>
        <w:jc w:val="left"/>
        <w:rPr>
          <w:rFonts w:ascii="Times New Roman" w:hAnsi="Times New Roman"/>
          <w:sz w:val="20"/>
        </w:rPr>
      </w:pPr>
      <w:r>
        <w:rPr>
          <w:rFonts w:ascii="Times New Roman" w:hAnsi="Times New Roman"/>
          <w:color w:val="000000"/>
          <w:sz w:val="20"/>
        </w:rPr>
        <w:t>Refer to Note 3, “</w:t>
      </w:r>
      <w:r>
        <w:rPr>
          <w:rFonts w:ascii="Times New Roman" w:hAnsi="Times New Roman"/>
          <w:i/>
          <w:color w:val="000000"/>
          <w:sz w:val="20"/>
        </w:rPr>
        <w:t>Fair Value Measurements</w:t>
      </w:r>
      <w:r>
        <w:rPr>
          <w:rFonts w:ascii="Times New Roman" w:hAnsi="Times New Roman"/>
          <w:color w:val="000000"/>
          <w:sz w:val="20"/>
        </w:rPr>
        <w:t xml:space="preserve">” for further details on valuation methodology and assumptions used. </w:t>
      </w:r>
    </w:p>
    <w:p>
      <w:pPr>
        <w:pStyle w:val="TextBody"/>
        <w:bidi w:val="0"/>
        <w:spacing w:before="360" w:after="283"/>
        <w:jc w:val="left"/>
        <w:rPr>
          <w:rFonts w:ascii="Times New Roman" w:hAnsi="Times New Roman"/>
          <w:sz w:val="20"/>
        </w:rPr>
      </w:pPr>
      <w:r>
        <w:rPr>
          <w:rFonts w:ascii="Times New Roman" w:hAnsi="Times New Roman"/>
          <w:i/>
          <w:color w:val="000000"/>
          <w:sz w:val="20"/>
        </w:rPr>
        <w:t>BMS Co. license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in connection with license agreements, the Company issued an aggregate of 1,544,576 shares of Series A Preferred Stock to MyoKardia and BMS Co., at the estimated fair value of $19.10 per share as of issuance date, with a total estimated fair value of $29.5 million. Refer to Note 5, “</w:t>
      </w:r>
      <w:r>
        <w:rPr>
          <w:rFonts w:ascii="Times New Roman" w:hAnsi="Times New Roman"/>
          <w:i/>
          <w:color w:val="000000"/>
          <w:sz w:val="20"/>
        </w:rPr>
        <w:t>Acquisitions and Licensing Agreements</w:t>
      </w:r>
      <w:r>
        <w:rPr>
          <w:rFonts w:ascii="Times New Roman" w:hAnsi="Times New Roman"/>
          <w:color w:val="000000"/>
          <w:sz w:val="20"/>
        </w:rPr>
        <w:t xml:space="preserve">” for more details. </w:t>
      </w:r>
    </w:p>
    <w:p>
      <w:pPr>
        <w:pStyle w:val="TextBody"/>
        <w:bidi w:val="0"/>
        <w:spacing w:before="360" w:after="283"/>
        <w:jc w:val="left"/>
        <w:rPr>
          <w:rFonts w:ascii="Times New Roman" w:hAnsi="Times New Roman"/>
          <w:sz w:val="20"/>
        </w:rPr>
      </w:pPr>
      <w:r>
        <w:rPr>
          <w:rFonts w:ascii="Times New Roman" w:hAnsi="Times New Roman"/>
          <w:b/>
          <w:i/>
          <w:color w:val="000000"/>
          <w:sz w:val="20"/>
        </w:rPr>
        <w:t>Series B Preferred Stock and Series B-1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September 2025, the Company entered into a Series B preferred stock purchase agreement (the “Series B SPA”) under which it issued and sold 4,082,529 shares of Series B Preferred Stock and 2,610,635 shares of Series B-1 Preferred Stock, at a price of $21.37 per share for each series, for gross cash proceeds of $143.0 million (the “Series B Initial Closing”). In addition, the Company issued warrants to purchase 1,752,080 shares of the Company’s common stock to certain investors. Refer to Note 10, “</w:t>
      </w:r>
      <w:r>
        <w:rPr>
          <w:rFonts w:ascii="Times New Roman" w:hAnsi="Times New Roman"/>
          <w:i/>
          <w:color w:val="000000"/>
          <w:sz w:val="20"/>
        </w:rPr>
        <w:t xml:space="preserve">Common Stock” </w:t>
      </w:r>
      <w:r>
        <w:rPr>
          <w:rFonts w:ascii="Times New Roman" w:hAnsi="Times New Roman"/>
          <w:color w:val="000000"/>
          <w:sz w:val="20"/>
        </w:rPr>
        <w:t xml:space="preserve">for more details.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to the Series B Initial Closing, the first additional closing occurred on October 9, 2025, at which the Company sold 4,025,257 additional shares of Series B Preferred Stock at the same price of $21.37 per share for gross cash proceeds of $86.0 million. Additionally, the second additional closing was consummated on October 15, 2025, at which the Company sold 1,170,134 additional shares of Series B-1 Preferred Stock at a price of $21.37 per share for gross cash proceeds of $25.0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the Company amended its certificate of incorporation to authorize the issuance of additional shares of Series B Preferred Stock and sold 468,053 shares of Series B Preferred Stock at the original price of $21.37 per share, for gross cash proceeds of $10.0 million. At the closing date, the estimated fair value of the Series B Preferred Stock was $24.36 per share. As additional consideration, the investor agreed to provide the Company with access to certain intellectual property pursuant to a license that was subject to final documentation and expected to be executed within 90 days of the closing date. Based on the stage of negotiations and the Company’s existing relationship with the investor, management concluded that execution of the license was probable and that the Company had a present right to future economic benefits at issuance. Accordingly, the Company recorded the issuance of shares of the Series B Preferred Stock at fair value of $11.4 million. The excess of the fair value over the cash proceeds of $1.4 million was initially recorded as an other current asset within prepaid and other current assets on its condensed consolidated balance sheet. The definitive license agreement was executed in June 2026. Upon execution, the Company reassessed the prepaid asset and concluded that the rights received relate to research and development activities; accordingly, the $1.4 million was expensed as research and development costs during the three months ended June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Preferred stock as of December 31, 2025 consisted of the following: </w:t>
      </w:r>
    </w:p>
    <w:p>
      <w:pPr>
        <w:pStyle w:val="TextBody"/>
        <w:bidi w:val="0"/>
        <w:jc w:val="left"/>
        <w:rPr/>
      </w:pPr>
      <w:r>
        <w:rPr/>
        <w:t> </w:t>
      </w:r>
    </w:p>
    <w:tbl>
      <w:tblPr>
        <w:tblW w:w="9515" w:type="dxa"/>
        <w:jc w:val="left"/>
        <w:tblInd w:w="0" w:type="dxa"/>
        <w:tblLayout w:type="fixed"/>
        <w:tblCellMar>
          <w:top w:w="28" w:type="dxa"/>
          <w:left w:w="28" w:type="dxa"/>
          <w:bottom w:w="28" w:type="dxa"/>
          <w:right w:w="28" w:type="dxa"/>
        </w:tblCellMar>
      </w:tblPr>
      <w:tblGrid>
        <w:gridCol w:w="2596"/>
        <w:gridCol w:w="146"/>
        <w:gridCol w:w="146"/>
        <w:gridCol w:w="1036"/>
        <w:gridCol w:w="146"/>
        <w:gridCol w:w="146"/>
        <w:gridCol w:w="157"/>
        <w:gridCol w:w="1118"/>
        <w:gridCol w:w="146"/>
        <w:gridCol w:w="146"/>
        <w:gridCol w:w="179"/>
        <w:gridCol w:w="706"/>
        <w:gridCol w:w="146"/>
        <w:gridCol w:w="146"/>
        <w:gridCol w:w="211"/>
        <w:gridCol w:w="781"/>
        <w:gridCol w:w="146"/>
        <w:gridCol w:w="146"/>
        <w:gridCol w:w="229"/>
        <w:gridCol w:w="85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w:t>
              <w:b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issued </w:t>
              <w:br/>
              <w:t>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Original </w:t>
              <w:br/>
              <w:t xml:space="preserve">issue price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 xml:space="preserve">liquidation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Net carrying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17,256,508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17,256,508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29,519,423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29,519,423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Immediately prior to the closing of the Company's initial public offering on June 22, 2026, pursuant to the stock split and proportional adjustment reflecting the 1.5928-for-1 conversion ratio, all of the Company's outstanding Preferred Stock was converted into an aggregate of 47,764,024 shares of common stock.</w:t>
      </w:r>
    </w:p>
    <w:p>
      <w:pPr>
        <w:pStyle w:val="TextBody"/>
        <w:bidi w:val="0"/>
        <w:spacing w:before="360" w:after="283"/>
        <w:jc w:val="left"/>
        <w:rPr/>
      </w:pPr>
      <w:r>
        <w:rPr/>
        <w:t> </w:t>
      </w:r>
    </w:p>
    <w:p>
      <w:pPr>
        <w:pStyle w:val="TextBody"/>
        <w:bidi w:val="0"/>
        <w:spacing w:before="32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Company’s certificate of incorporation, as amended and restated on June 22, 2026, authorized the Company to issue 700,000,000 shares of common stock, $0.00001 par value, with 500,000,000 of such shares designated as voting common stock and 200,000,000 of such shares designated as non-voting common stock. As of June 30, 2026, 93,467,940 shares of voting common stock and no shares of non-voting common stock were issued and outstanding. The voting, dividend and liquidation rights of the holders of the Company’s common stock may be subject to and qualified by the rights, powers and preferences of the holders of the Company’s preferred stock, if issued. Each share of voting common stock is entitled to one vote on all matters submitted to stockholders, except that, pursuant to the Company’s certificate of incorporation, holders of common stock are not entitled to vote on amendments to the certificate that relate solely to the terms of the outstanding preferred stock if the holders of such preferred stock are entitled to vote separately on those amendments. Each holder of non-voting common stock shall be treated equally to that of the voting common stock except that the holders thereof shall have no right to vote for the election of directors or on any other matters requiring stockholder action, except as required by law. Each holder of non-voting common stock shall also be entitled to convert such stock to voting common stock, at a 1-to-1 ratio, provided such holder's beneficial ownership, as defined under Section 13(d) of the Exchange Act, does not exceed 9.99% of the shares then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June 22, 2026 amendment, the Company's certificate of incorporation, as amended and restated, authorized the Company to issue 55,133,053 shares of common stock, $0.00001 par value. The voting, dividend and liquidation rights of the holders of the Company’s common stock were subject to and qualified by the rights, powers and preferences of the holders of the Company’s preferred stock set forth above. Each share of common stock was entitled to one vote on all matters submitted to stockholders, except that, pursuant to the Company’s certificate of incorporation, holders of common stock are not entitled to vote on amendments to the certificate that relate solely to the terms of the outstanding preferred stock if the holders of such preferred stock are entitled to vote separately on those amendments.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of common stock are entitled to receive dividends, if any, as declared by the Company’s board of directors, subject to the preferential dividend rights of the preferred stock. As of June 30, 2026, and December 31, 2025 no dividends have been declared or paid.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Company’s certificate of incorporation, as amended and restated on June 22, 2026, authorized the Company to issue 10,000,000 shares of undesignated preferred stock, $0.00001 par value. No shares of preferred stock have been issued and no shares were outstanding as of June 30,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issuance of Series B Preferred Stock, the Company issued warrants to purchase up to 1,752,080 shares of Company’s common stock (the “Warrants”) with an exercise price of $13.41 per share, exercisable, in whole or in part, only upon the first date the Company achieves a valuation of $5.0 billion and until the tenth anniversary of the issuance date (September 4, 2035). The warrants, which were classified as equity, were initially recorded at fair value and do not require subsequent remeasurement.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warrants were granted only to a select group of investors that led the Series B Preferred Stock financing round as an economic incentive for their role. The fair value of the warrants, totaling $7.4 million, was recognized as a warrant issuance expense within the condensed consolidated statement of operations and comprehensive loss in the period of issuance.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warrants was measured using the Monte Carlo pricing model. Significant inputs into the model as of September 4, 2025 were as follows: </w:t>
      </w:r>
    </w:p>
    <w:p>
      <w:pPr>
        <w:pStyle w:val="TextBody"/>
        <w:bidi w:val="0"/>
        <w:jc w:val="left"/>
        <w:rPr/>
      </w:pPr>
      <w:r>
        <w:rPr/>
        <w:t> </w:t>
      </w:r>
    </w:p>
    <w:tbl>
      <w:tblPr>
        <w:tblW w:w="5083" w:type="dxa"/>
        <w:jc w:val="left"/>
        <w:tblInd w:w="0" w:type="dxa"/>
        <w:tblLayout w:type="fixed"/>
        <w:tblCellMar>
          <w:top w:w="28" w:type="dxa"/>
          <w:left w:w="28" w:type="dxa"/>
          <w:bottom w:w="28" w:type="dxa"/>
          <w:right w:w="28" w:type="dxa"/>
        </w:tblCellMar>
      </w:tblPr>
      <w:tblGrid>
        <w:gridCol w:w="2956"/>
        <w:gridCol w:w="146"/>
        <w:gridCol w:w="448"/>
        <w:gridCol w:w="1217"/>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4,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liquidity event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6, 2027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expiration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4, 2035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IPO threshold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(annual)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no warrants were exercised and all remain outstanding. </w:t>
      </w:r>
    </w:p>
    <w:p>
      <w:pPr>
        <w:pStyle w:val="TextBody"/>
        <w:bidi w:val="0"/>
        <w:spacing w:before="360" w:after="283"/>
        <w:jc w:val="left"/>
        <w:rPr>
          <w:rFonts w:ascii="Times New Roman" w:hAnsi="Times New Roman"/>
          <w:sz w:val="20"/>
        </w:rPr>
      </w:pPr>
      <w:r>
        <w:rPr>
          <w:rFonts w:ascii="Times New Roman" w:hAnsi="Times New Roman"/>
          <w:b/>
          <w:color w:val="000000"/>
          <w:sz w:val="20"/>
        </w:rPr>
        <w:t>11.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2023 stock option and grant plan (as amended and restated)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adopted the 2023 Stock Option and Grant Plan (as amended and restated, the “2023 Plan”) on August 18, 2023. The 2023 Plan remained in effect until June 17, 2026. The 2023 Plan provided for the grant of incentive stock options, non-qualified stock options, restricted stock awards, unrestricted stock awards and restricted stock units to the employees, directors and consultants of the Company. The option exercise price of each option was determined by the administrator of the 2023 Plan and could not be less than 100% of the fair market value of the Company’s common stock on the date of grant, or in the case of an incentive stock option granted to a 10% owner, the exercise price could not be less than 110% of the fair market value of the Company’s common stock on the date of grant. The maximum term of the options granted under the 2023 Plan was no more than ten years. Service-based awards generally vest at 25% one year from the vesting commencement date and ratably each month thereafter for a period of 36 months, subject to continuous service. Performance and market-based awards would have individual vesting conditions. The shares of common stock underlying any awards that are forfeited, cancelled, reacquired by the Company prior to vesting, satisfied without the issuance of stock, or otherwise terminated (other than by exercise), or held back upon exercise or settlement of an award to satisfy the exercise price or tax withholding under the 2023 Plan were added back to the shares of common stock available for issuance under the 2023 Plan and, following June 17, 2026, will be added back to the shares of common stock available for issuance under the 2026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reserved 26,224,708 and 33,752,354 shares of common stock for issuance under the 2023 Plan, respectively. As of June 30, 2026 and December 31, 2025, the number of shares remaining for grant under the 2023 Plan were zero and 4,375,891 shares,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stock option and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adopted the 2026 Stock Option and Incentive Plan (the "2026 Plan") on June 17, 2026, upon the cessation of the 2023 Plan. The 2026 Plan provides for the grant of incentive stock options, non-qualified stock options, stock appreciation rights ("SARs"), restricted stock awards, restricted stock units, and cash or other stock-based awards to the employees, directors, consultants and other service providers of the Company, provided that incentive stock options may be granted only to employees. The option exercise price of each option will be determined by the administrator of the 2026 Plan and shall not be less than 100% of the fair market value of the Company's common stock on the date of grant, or in the case of an incentive stock option granted to a 10% owner, the exercise price shall not be less than 110% of the fair market value of the Company's common stock on the date of grant. The maximum term of the options granted under the 2026 Plan shall not be more than ten years. Service-based awards generally vest at 25% one year from the vesting commencement date and ratably each month thereafter for a period of 36 months, subject to continuous service. Performance and market-based awards will have individual vesting conditions. Shares subject to 2023 Plan or 2026 Plan awards that are forfeited, cancelled, reacquired by the Company prior to vesting, satisfied without the issuance of stock, or otherwise terminated (other than by exercise), or held back upon exercise or settlement of an award to satisfy the exercise price or tax withholding, will be added (or added back) to the shares of common stock available for issuance under the 2026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total of 10,620,000 shares of common stock were initially reserved for issuance under the 2026 Plan, and such reserve will automatically increase on January 1 of each year, beginning January 1, 2027, by the lesser of (i) 5% of the total shares of common stock outstanding (including shares issuable upon exercise of any outstanding pre-funded warrants with a nominal exercise price) as of the immediately preceding December 31, or (ii) a smaller number of shares as determined by the Company's board of directors or compensation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reserved 10,620,000 shares of common stock for issuance under the 2026 Plan. As of June 30, 2026, the number of shares remaining for grant under the 2026 Plan were 8,469,613 shares.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2026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17, 2026, the Company adopted the 2026 Employee Stock Purchase Plan (the "ESPP"), which permits participants to contribute up to 15% of their eligible compensation during defined rolling six-month periods to purchase the Company’s common stock. The purchase price of the shares will be 85% of the lower of the fair market value of the Company’s common stock on the first day of trading of the offering period or on the applicable purchase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total of 1,180,000 shares of common stock were initially reserved for issuance under the ESPP, and such reserve will increase on January 1 of each year, beginning January 1, 2027, by the least of (i) 2,360,000 shares of common stock, (ii) 1% of the shares of common stock outstanding as of the immediately preceding December 31, or (iii) such lesser number of shares as determined by the compensation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not issued any shares under the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stock options activity, inclusive of early exercises, for the six months ended June 30, 2026 (in thousands, except per share data and years): </w:t>
      </w:r>
    </w:p>
    <w:p>
      <w:pPr>
        <w:pStyle w:val="TextBody"/>
        <w:bidi w:val="0"/>
        <w:jc w:val="left"/>
        <w:rPr/>
      </w:pPr>
      <w:r>
        <w:rPr/>
        <w:t> </w:t>
      </w:r>
    </w:p>
    <w:tbl>
      <w:tblPr>
        <w:tblW w:w="10154" w:type="dxa"/>
        <w:jc w:val="left"/>
        <w:tblInd w:w="0" w:type="dxa"/>
        <w:tblLayout w:type="fixed"/>
        <w:tblCellMar>
          <w:top w:w="28" w:type="dxa"/>
          <w:left w:w="28" w:type="dxa"/>
          <w:bottom w:w="28" w:type="dxa"/>
          <w:right w:w="28" w:type="dxa"/>
        </w:tblCellMar>
      </w:tblPr>
      <w:tblGrid>
        <w:gridCol w:w="3766"/>
        <w:gridCol w:w="146"/>
        <w:gridCol w:w="185"/>
        <w:gridCol w:w="1315"/>
        <w:gridCol w:w="166"/>
        <w:gridCol w:w="146"/>
        <w:gridCol w:w="336"/>
        <w:gridCol w:w="744"/>
        <w:gridCol w:w="146"/>
        <w:gridCol w:w="146"/>
        <w:gridCol w:w="317"/>
        <w:gridCol w:w="1018"/>
        <w:gridCol w:w="146"/>
        <w:gridCol w:w="146"/>
        <w:gridCol w:w="242"/>
        <w:gridCol w:w="898"/>
        <w:gridCol w:w="2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25,617,115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9,700,842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Performance-based and market-based options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June 2024, the Company’s Chief Executive Officer was granted an early-exercisable non-qualified option to purchase up to 4,277,389 shares of the Company’s common stock at a price per share of $1.35. The options vest contingent upon the satisfaction of the service, performance and market conditions. The service condition is satisfied if the optionee maintains continuous service as the Company’s Chief Executive Officer through June 6, 2027. The market condition is structured in five tranches, under which certain percentage of the options vest upon the Company achieving market valuation thresholds at specified levels. The performance condition applies only to 932,676 shares and is satisfied upon the occurrence of specified acquisition by a predetermined date. This performance condition has been met upon the closing of the license agreement with BMS (refer to Note 5, “</w:t>
      </w:r>
      <w:r>
        <w:rPr>
          <w:rFonts w:ascii="Times New Roman" w:hAnsi="Times New Roman"/>
          <w:i/>
          <w:color w:val="000000"/>
          <w:sz w:val="20"/>
        </w:rPr>
        <w:t>Acquisitions and Licensing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the Company’s Chief Executive Officer was granted an early-exercisable non-qualified option to purchase up to 1,400,974 shares of the Company’s common stock at the price per share of $5.80, with vesting tied to specific service and market conditions. The service condition is satisfied if the optionee maintains continuous service as the Company’s Chief Executive Officer through June 6, 2027. The market condition is structured in four tranches, under which certain percentage of the options vest upon the Company achieving market valuation thresholds at specified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Company’s Chief Executive Officer was granted an early-exercisable non-qualified option to purchase up to 7,268,112 shares of the Company’s common stock at the price per share of $9.42, with vesting tied to specific service and market conditions. The service condition is satisfied if the optionee maintains continuous service relationship with the Company. The market condition is structured in four tranches, under which certain percentage of the options vest upon the Company achieving market valuation thresholds at specified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these awards was determined using a Monte Carlo simulation. The valuation assumptions utilized in the Monte Carlo model are generally consistent with the inputs discussed in the valuation of stock options below, except for volatility ranging from 80.0% to 90.0% and expected term of 9.0 to 10.0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options vested, and no options were exercised as of and for the six months ended June 30, 2026 and 2025. </w:t>
      </w:r>
    </w:p>
    <w:p>
      <w:pPr>
        <w:pStyle w:val="TextBody"/>
        <w:bidi w:val="0"/>
        <w:spacing w:before="360" w:after="283"/>
        <w:jc w:val="left"/>
        <w:rPr>
          <w:rFonts w:ascii="Times New Roman" w:hAnsi="Times New Roman"/>
          <w:sz w:val="20"/>
        </w:rPr>
      </w:pPr>
      <w:r>
        <w:rPr>
          <w:rFonts w:ascii="Times New Roman" w:hAnsi="Times New Roman"/>
          <w:b/>
          <w:i/>
          <w:color w:val="000000"/>
          <w:sz w:val="20"/>
        </w:rPr>
        <w:t>Early exercise liability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equity plans allow for the early exercise of all stock options granted if authorized by the Company's board of directors at the time of grant. Any shares of common stock issued from the early exercise of stock options are restricted and vest over time. The Company has the option to repurchase any unvested shares at the lower of the original issue price or current fair value upon any voluntary or involuntary termination of such optionee. For accounting purposes, the early exercise of options is not considered to be a substantive exercise until the underlying awards vest and are not considered to be outstanding until those shares vest. The early-exercise liability is included within other non-current liabilities on the condensed consolidated balance sheets.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and December 31, 2025, unvested shares issued under early exercise provisions and subject to repurchase by the Company totaled 953,572 and 1,173,066, respectively, with related liabilities of $1.4 million and $1.7 million, respectively, included in other non-current liabilities.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equity plans allow for the grant of restricted stock awards and restricted stock units to certain employees, executives, non-employee scientific advisors, and third-party service providers. The restrictions lapse over time primarily according to service-based vesting conditions of each award. In the event of a voluntary or involuntary termination of the holder’s continuous provision of services to the Company, any unvested portion of the restricted stock award is automatically forfeited.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restricted stock activity for the six months ended June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1"/>
        <w:gridCol w:w="146"/>
        <w:gridCol w:w="249"/>
        <w:gridCol w:w="1440"/>
        <w:gridCol w:w="166"/>
        <w:gridCol w:w="146"/>
        <w:gridCol w:w="488"/>
        <w:gridCol w:w="1079"/>
        <w:gridCol w:w="146"/>
        <w:gridCol w:w="146"/>
        <w:gridCol w:w="225"/>
        <w:gridCol w:w="1437"/>
        <w:gridCol w:w="166"/>
        <w:gridCol w:w="146"/>
        <w:gridCol w:w="421"/>
        <w:gridCol w:w="1147"/>
        <w:gridCol w:w="29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 Restricted Stock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 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FV</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six months ended June 30, 2026, the Company granted a total of 2,205,481 restricted stock units, including 78,748 restricted stock units subject to both service-based and performance-based vesting conditions (the performance condition was satisfied upon the Company's IPO in June 2026), and 2,126,733 restricted stock units granted to certain employees and directors that vest in full on the two-year anniversary of the grant date, subject in each case to the applicable continued service relationship through the vesting date.</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Modification of Chief Medical Officer Restricted Stock Award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original vesting terms of the Chief Medical Officer’s award of 3,982,000 shares granted in August 2023 provided for 80% of the shares to vest immediately, with the remaining 20% vesting in equal monthly installments over a 24-month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6, 2024, in connection with the Company’s Series A financing and adoption of the 2023 Plan, the Company revised the vesting terms of the award to provide for 50% immediate vesting, with the remaining 50% vesting monthly over 36 months from the new vesting commencement date. The Company determined that this was an escrowed share arrangement under ASC 718 and determined that the shares were a new compensatory award. The incremental compensation cost of $7.8 million was measured as the excess of the fair value of the modified award over the fair value of the original award immediately prior to modification, to be recognized over a 36-month service period starting on June 6, 2024. For purposes of the net loss per share calculation, the Company determined that the modification is equivalent to a reverse stock split and, accordingly, adjusted the weighted-average number of unvested restricted stock shares under the Chief Medical Officer’s award as if those terms had been in effect for all periods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was included in the condensed consolidated statements of operations and comprehensive loss as follows (in thousands): </w:t>
      </w:r>
    </w:p>
    <w:p>
      <w:pPr>
        <w:pStyle w:val="TextBody"/>
        <w:bidi w:val="0"/>
        <w:jc w:val="left"/>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231"/>
        <w:gridCol w:w="741"/>
        <w:gridCol w:w="160"/>
        <w:gridCol w:w="160"/>
        <w:gridCol w:w="231"/>
        <w:gridCol w:w="741"/>
        <w:gridCol w:w="146"/>
        <w:gridCol w:w="146"/>
        <w:gridCol w:w="211"/>
        <w:gridCol w:w="677"/>
        <w:gridCol w:w="146"/>
        <w:gridCol w:w="146"/>
        <w:gridCol w:w="211"/>
        <w:gridCol w:w="67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June 30, 2026, unrecognized stock-based compensation expense related to unvested awards totaled $159.2 million, which is expected to be recognized over a weighted-average period of 2.72 years.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its income tax provision for interim periods using an estimate of its annual effective tax rate, adjusted for discrete items occurring in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no income tax expense or benefit for the three months ended June 30, 2026 and 2025, representing effective tax rates of 0.0% for both periods. The Company recorded no income tax expense and an income tax benefit of $4.2 million for the six months ended June 30, 2026 and 2025, representing effective tax rates of 0.0% and 5.2%,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income tax expense or benefit for the three months ended June 30, 2026 as compared to the three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as compared to the six months ended June 30, 2025, the change from an income tax benefit to income tax expense was primarily due to a discrete release of valuation allowance in the prior-year period attributable to deferred tax liabilities acquired in a business combination, which provided a source of future taxable income supporting realization of a portion of the Company's existing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the effective tax rate differs from the U.S. federal statutory rate primarily because the Company maintains a full valuation allowance against its net deferred tax assets, as the Company has determined that realization of those assets is not more likely than not based on available evidence.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no material unrecognized tax benefits as of June 30, 2026. </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net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number of shares of common</w:t>
              <w:br/>
              <w:t>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26,914,705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16,119,196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16,111,246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Weighted-average number of shares of</w:t>
              <w:br/>
              <w:t>   common stock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(1,754,208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Weighted-average number of shares of</w:t>
              <w:br/>
              <w:t>   unvested restricted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of common stock</w:t>
              <w:br/>
              <w:t>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25,196,212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12,380,388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12,043,978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potentially dilutive securities outstanding have been excluded from the computation of diluted weighted average shares outstanding because such securities have an anti-dilutive effect due to the Company’s net loss, in common stock equivalent shares: </w:t>
      </w:r>
    </w:p>
    <w:p>
      <w:pPr>
        <w:pStyle w:val="TextBody"/>
        <w:bidi w:val="0"/>
        <w:jc w:val="left"/>
        <w:rPr/>
      </w:pPr>
      <w:r>
        <w:rPr/>
        <w:t> </w:t>
      </w:r>
    </w:p>
    <w:tbl>
      <w:tblPr>
        <w:tblW w:w="7104" w:type="dxa"/>
        <w:jc w:val="left"/>
        <w:tblInd w:w="0" w:type="dxa"/>
        <w:tblLayout w:type="fixed"/>
        <w:tblCellMar>
          <w:top w:w="28" w:type="dxa"/>
          <w:left w:w="28" w:type="dxa"/>
          <w:bottom w:w="28" w:type="dxa"/>
          <w:right w:w="28" w:type="dxa"/>
        </w:tblCellMar>
      </w:tblPr>
      <w:tblGrid>
        <w:gridCol w:w="4111"/>
        <w:gridCol w:w="146"/>
        <w:gridCol w:w="146"/>
        <w:gridCol w:w="1036"/>
        <w:gridCol w:w="146"/>
        <w:gridCol w:w="146"/>
        <w:gridCol w:w="146"/>
        <w:gridCol w:w="1036"/>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19,285,484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11,160,711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w:t>
              <w:br/>
              <w: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exercised options subject to repurchase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31,057,097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33,877,718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views its operations and manages its business as one operating segment, focused on the discovery and development of novel cardiovascular drugs for the treatment of heart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is responsible for making decisions regarding resource allocation and assessing performance. The Company’s CODM is its Chief Executive Officer. No revenue has been generated since inception, and all assets are held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assesses performance of the business, monitors budget versus actual results and manages and allocates resources to the Company’s operations using condensed consolidated net loss as the primary measurement. The CODM is regularly provided with entity-wide expense categories that are largely consistent with those found on the Company’s condensed consolidated statements of operations and comprehensive loss. The measure of segment assets is reported on the condensed consolidated balance sheets as total consolidated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is a summary of the segment loss, including significant segment expenses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36"/>
        <w:gridCol w:w="346"/>
        <w:gridCol w:w="216"/>
        <w:gridCol w:w="801"/>
        <w:gridCol w:w="169"/>
        <w:gridCol w:w="149"/>
        <w:gridCol w:w="216"/>
        <w:gridCol w:w="694"/>
        <w:gridCol w:w="146"/>
        <w:gridCol w:w="146"/>
        <w:gridCol w:w="211"/>
        <w:gridCol w:w="781"/>
        <w:gridCol w:w="166"/>
        <w:gridCol w:w="146"/>
        <w:gridCol w:w="211"/>
        <w:gridCol w:w="676"/>
        <w:gridCol w:w="395"/>
      </w:tblGrid>
      <w:tr>
        <w:trPr/>
        <w:tc>
          <w:tcPr>
            <w:tcW w:w="4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Program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Danicamtiv</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Ataciguat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Tonlamarsen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 compensation and</w:t>
              <w:br/>
              <w:t> benefits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 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12,732</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 - compensation and benefits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 -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milestone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income/expense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116,236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Includes stock-based compensation expense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 Other income (expense) for the three and six months ended June 30, 2026 primarily includes interest income. Other income (expense) for the six months ended June 30, 2025 primarily includes bargain purchase gain, change in fair value of Series A Preferred Stock tranche obligations and interest income.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Related party transactions</w:t>
      </w:r>
    </w:p>
    <w:p>
      <w:pPr>
        <w:pStyle w:val="TextBody"/>
        <w:bidi w:val="0"/>
        <w:spacing w:before="120" w:after="283"/>
        <w:jc w:val="left"/>
        <w:rPr>
          <w:rFonts w:ascii="Times New Roman" w:hAnsi="Times New Roman"/>
          <w:sz w:val="20"/>
        </w:rPr>
      </w:pPr>
      <w:r>
        <w:rPr>
          <w:rFonts w:ascii="Times New Roman" w:hAnsi="Times New Roman"/>
          <w:b/>
          <w:i/>
          <w:color w:val="000000"/>
          <w:sz w:val="20"/>
        </w:rPr>
        <w:t>Prolaio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On February 24, 2025, the Company acquired 100% of the outstanding shares of Prolaio, Inc. At the time of the acquisition, Tassos Gianakakos, the Company’s Chief Executive Officer and member of its board of directors, also served as Prolaio, Inc.’s Chief Executive Officer and as a member of its board of directors and Jay Edelberg, the Company’s Chief Medical Officer, served as its Head of Research &amp; Development and as a member of its board of directors. Mr. Gianakakos and Dr. Edelberg beneficially owned 55.7% and 17.1%, respectively, of Prolaio, Inc. at the time of its acquisition. Accordingly, Prolaio, Inc. was considered a related party during the pre-acquisition period, and the Prolaio acquisition itself constituted a related-party transaction. In addition, the amendment to the Agreement and Plan of Merger entered into on May 1, 2026 with the former Prolaio stockholders also constituted a related-party transaction. Refer to Note 5, “</w:t>
      </w:r>
      <w:r>
        <w:rPr>
          <w:rFonts w:ascii="Times New Roman" w:hAnsi="Times New Roman"/>
          <w:i/>
          <w:color w:val="000000"/>
          <w:sz w:val="20"/>
        </w:rPr>
        <w:t>Acquisitions and Licensing Agreements</w:t>
      </w:r>
      <w:r>
        <w:rPr>
          <w:rFonts w:ascii="Times New Roman" w:hAnsi="Times New Roman"/>
          <w:color w:val="000000"/>
          <w:sz w:val="20"/>
        </w:rPr>
        <w:t xml:space="preserve">”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pre-acquisition period, Prolaio, Inc. provided services to the Company utilizing its proprietary device, data monitoring, and analytics platform in support of the development of the Company’s cardiovascular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period from January 1, 2025 through February 24, 2025 (the respective acquisition date), the Company made a prepayment of $0.3 million, and recognized $0.3 million of expense related to services performed by Prolaio, Inc. The Company had a prepaid expense balance of $0.3 million as of the acquisition date. Subsequent balances and transactions between Prolaio, Inc. and the Company are eliminated at consolidated level.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in conjunction with our unaudited condensed consolidated financial statements and related notes and other financial information included in Part I of this Quarterly Report on Form 10-Q as well as our audited consolidated financial statements and related notes for the year ended December 31, 2025 included in our final prospectus dated June 17, 2026 filed with the Securities and Exchange Commission pursuant to Rule 424(b) under the Securities Act of 1933, as amended. This discussion and analysis and other parts of this Quarterly Report on Form 10-Q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Quarterly Report on Form 10-Q. You should carefully read the section titled “Risk Factors” to gain an understanding of the important factors that could cause actual results to differ materially from our forward-looking statements. Our historical results are not necessarily indicative of the results that may be expected for any period in the future.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precision therapeutics company developing medicines that target the root cause of specific cardiovascular diseases where no approved treatments exist. Our mission is to develop multiple targeted cardiovascular treatments in parallel that bring people with cardiovascular diseases closer to the cures they deserve. Our team is values-based and mission-driven, led by a proven and experienced management team applying a new philosophy to cardiovascular drug development. We have three late-stage programs, Danicamtiv, Ataciguat, and Tonlamarsen, in clinical development for indications for which no approved therapies currently exist. These programs are designed to create new standards of care for high-need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team, including leaders from MyoKardia, Inc. (“MyoKardia”), has deep-domain knowledge of, and proven ability to, navigate the complexity of cardiovascular disease and translate that insight into an innovative drug development approach, enhanced by proprietary data and analytics technology through our Prolaio platform, to deliver with exceptional speed and execution. We believe this uniquely enables us to apply a high degree of precision to cardiovascular drug development, targeting the root causes of disease, rather than later onset cardiovascular symptoms. By applying our differentiated understanding of cardiovascular clinical endpoints, prioritizing indications with high regulatory clarity and significant unmet need, and focusing on biology-led patient selection for our trials, we believe we are uniquely positioned to maximize our probability of clinical success and efficiently develop and deliver multiple novel medicines with the greatest possible therapeutic impact for patients and healthcare providers alike.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Cardiovascular disease is the leading cause of death worldwide, yet innovation has lagged due to drug development focused on broad, downstream, symptom-focused approaches despite disease heterogeneity and genetic variability. Furthermore, clinical trial design has depended on infrequent in-office measurements, failing to capture between visit changes that are critical to understanding cardiovascular disease, including symptoms and variability over time. These factors often result in development requiring lengthy, large and expensive outcomes trials with modest treatment effects. Kardigan’s approach is designed to address these challenges through differentiated clinical trial designs with near real-time continuous data collection that enable more modern and efficient development, including reduced enrollment size and trial duration relative to traditional cardiovascular outcomes trials. The intended result is faster and more cost-effective trials designed to achieve a higher probability of success, although there is no guarantee that these results will be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mission is to apply Kardigan’s purpose-built cardiovascular development model to advance multiple late-stage programs in parallel, targeting “3 in 4”—three high-impact medicines through pivotal studies in roughly four years, subject to regulatory approval—enabling a credible, standalone and attractive value–creation path. By executing with discipline across portfolio selection, development strategy and trial execution, we aim to deliver better patient outcomes and build a durable, fully integrated, leading cardiovascular-focused biotechnology company.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Our three late-stage programs include Danicamtiv, which we are developing for the treatment of genetic dilated cardiomyopathy (“DCM”), Ataciguat, which is aimed at slowing the progression of calcific aortic valve stenosis (“CAVS”) in patients with moderate disease, and Tonlamarsen, which we are developing for the management of blood pressure (“BP”) in acute severe hypertension (“ASH”) post-hospitalization. Each of these medicines is designed specifically for well-defined patient populations with well-defined regulatory pathways. In the second quarter, we randomized the first patient in the KARDINAL-ASH Phase 2 clinical trial that is evaluating Tonlamarsen for the management of blood pressure in acute severe hypertension ("ASH") post-hospitalization. Additionally, in July, we completed enrollment of Cohort 1 (myosin heavy chain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7, MYH7, and titin, TTN, patients) of the Phase 2b KINSHIP-DCM clinical trial and enrollment of the Phase 3 portion is now underway. We expect to report clinical data from our three late-stage programs in the first half of 2027: Danicamtiv Phase 2b topline data from the KINSHIP-DCM trial, Ataciguat Phase 2b topline data (interim 24-week analysis) from the KATALYST-AV trial and Tonlamarsen Phase 2 topline data in the KARDINAL-ASH trial.</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or other sources and have incurred significant operating losses and negative cash flows from our operations. Our primary uses of cash to date have been conducting research and development, acquisitions, building infrastructure, developing intellectual property, hiring personnel and providing general and administrative support for our expanding operations. To date, we have funded our operations primarily through private placements of our redeemable convertible preferred stock and, most recently, through the net proceeds from our initial public offering ("IPO").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operating losses since our inception. Our net losses were $172.3 million and $75.5 million for the six months ended June 30, 2026 and 2025, respectively. As of June 30, 2026, we had an accumulated deficit of $453.4 million. Our operating results also reflect significant period-over-period and year-over-year increases in research and development and general and administrative expenses, driven by the progression of our therapeutic programs, increased headcount, integration of acquired assets, and expanded clinical and operational activities. We expect our expenses and operating losses will increase substantially as we advance our three late-stage candidates clinical development and seek regulatory approvals, manufacture drug product and drug supply, maintain and expand our intellectual property portfolio, as well as hire additional personnel, pay for further accounting, audit, legal, regulatory and consulting services, and pay costs associated with director and officer liability insurance, investor and public relations activities and other expenses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preclinical and clinical development, regulatory and commercial milestone payment obligations under our licensing arrangements. Our net losses may fluctuate significantly from quarter-to-quarter and year-to-year, depending on the timing of our preclinical studies and our ongoing and planned clinical trials and our expenditures on other research and development activities. Furthermore, we expect to incur additional costs associated with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22, 2026, we completed our IPO and issued 28,750,000 shares of common stock, including 3,750,000 shares pursuant to the full exercise of the underwriters’ option to purchase additional shares, at a price of $16.00 per share. In connection with the IPO, we received net proceeds of $422.4 million, after deducting $32.2 million in underwriting discounts and commissions, and $5.4 million in other offering costs.</w:t>
      </w:r>
    </w:p>
    <w:p>
      <w:pPr>
        <w:pStyle w:val="TextBody"/>
        <w:bidi w:val="0"/>
        <w:spacing w:before="240" w:after="283"/>
        <w:jc w:val="left"/>
        <w:rPr>
          <w:rFonts w:ascii="Times New Roman" w:hAnsi="Times New Roman"/>
          <w:sz w:val="20"/>
        </w:rPr>
      </w:pPr>
      <w:r>
        <w:rPr>
          <w:rFonts w:ascii="Times New Roman" w:hAnsi="Times New Roman"/>
          <w:color w:val="000000"/>
          <w:sz w:val="20"/>
        </w:rPr>
        <w:t>As of June 30, 2026, we had cash, cash equivalents and investments of $660.7 million. Based on our current operating plan, we believe that our existing cash, cash equivalents and investments will be sufficient to fund our operations for at least the next 12 months from the date of this Quarterly Report on Form 10-Q. See the section titled “—</w:t>
      </w:r>
      <w:r>
        <w:rPr>
          <w:rFonts w:ascii="Times New Roman" w:hAnsi="Times New Roman"/>
          <w:i/>
          <w:color w:val="000000"/>
          <w:sz w:val="20"/>
        </w:rPr>
        <w:t>Liquidity and Capital Resources</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We do not expect to generate any revenue from product sales unless and until we successfully complete development and obtain regulatory approval for one or more of our current or future product candidates, which will not be for at least the next several years, if ever. If we obtain regulatory approval for any of our current or future product candidates, we expect to incur significant commercialization expenses related to product sales, marketing, manufacturing and distribution. Accordingly, until such time as we can generate significant revenue from sales of our current or future product candidates, if ever, we expect to finance our cash needs through equity offerings, debt financings or other capital sources, including potential collaborations, licenses and other similar arrangements. See the section titled “—</w:t>
      </w:r>
      <w:r>
        <w:rPr>
          <w:rFonts w:ascii="Times New Roman" w:hAnsi="Times New Roman"/>
          <w:i/>
          <w:color w:val="000000"/>
          <w:sz w:val="20"/>
        </w:rPr>
        <w:t>Liquidity and Capital Resources</w:t>
      </w:r>
      <w:r>
        <w:rPr>
          <w:rFonts w:ascii="Times New Roman" w:hAnsi="Times New Roman"/>
          <w:color w:val="000000"/>
          <w:sz w:val="20"/>
        </w:rPr>
        <w:t>.”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current or future product candidates that we would otherwise prefer to develop and market ourselves.</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products approved for sale, and we have not generated any revenue to date. In the future, we may generate revenue from collaboration or license agreements we may enter into with respect to our current or future product candidates, as well as product sales from any approved product, which approval we do not expect to occur for at least the next several years, if ever. Our ability to generate product revenue will depend on the successful development and eventual commercialization of any current or future product candidates we may pursue. If we fail to complete preclinical and clinical development of our current or future product candidates or obtain regulatory approval for them, our ability to generate future revenues and our results of operations and financial position would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internal and external costs associated with our research and development activities, our discovery and research efforts and the preclinical and clinical development of our current and future product candidates. In particular, our research and development expenses include personnel-related costs, including stock-based compensation for employees engaged in research and development functions, manufacturing costs for our product candidates, including fees paid to contract manufacturing organizations (“CMOs”), expenses incurred under arrangements with third parties such as contract research organizations (“CROs”), costs associated with developing and validating our manufacturing process for use in our preclinical studies and ongoing and future clinical trials, costs incurred to obtain licenses to intellectual property and any future payments related to development or regulatory milestones thereto, expenses related to compliance with regulatory requirements and the research and development of our Prolaio platform, internal research and development preclinical costs, and direct and allocated overhead costs for laboratory supplies, research materials, reagents, facility costs, depreciation and other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incurred. Non-refundable advance payments for future research and development services are recorded as prepaid expenses and recognized as the related goods are delivered or the services are performed. We record accruals for research costs based on estimates of work performed, invoices received and contracted costs, updating these estimates as additional information becomes available from our third-party service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significant portion of our research and development costs are external costs, which we track on a product candidate-by-product candidate basis once a preclinical asset is designated as a product candidate. Due to our ability to use certain resources across several programs, personnel-related expenses and indirect or shared operating costs incurred for our research and development programs are not recorded or maintained on a product candidate-by-product candidate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for the foreseeable future as we continue to conduct our ongoing research and development activities, expand our pipeline, advance our preclinical research programs toward clinical development and conduct our current and planned clinical trials. The timing and amount of these expenses are inherently difficult to predict, and we make funding determinations for each program on an ongoing basis based on preclinical and clinical results, regulatory developments and ongoing assessments of each program’s commercial potential.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development costs may vary significantly depending on the scope, timing and outcome of clinical development and regulatory review for Danicamtiv, Ataciguat, Tonlamarsen and any future product candidates, our ability to maintain or establish CMO and other third-party arrangements, milestone and collaboration-based payments, and the costs of developing our Prolaio platform. For example, if the FDA, the European Medicines Agency (the “EMA”) or another regulatory authority were to require clinical trials beyond those we currently anticipate, or if we experience significant delays in patient enrollment, we would be required to expend significant additional financial resources and time on the completion of clinical development.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salaries, bonuses, benefits and stock-based compensation charges for those individuals in executive, legal, finance, human resources, facility operations and other administrative functions. Other significant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which include direct or allocated expenses for rent and maintenance of facilities and utilities.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for the foreseeable future to support our increased research, development and commercialization activities. These increases will likely include costs related to the hiring of additional personnel and fees paid to outside consultants, pre-launch costs and regulatory filing fees, among other expenses. We also anticipate increased expenses related to audit, accounting, legal, regulatory and tax-related services associated with maintaining compliance with the stock exchange and SEC requirements, director and officer insurance premiums and investor relations costs associated with operating as a public company.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contingent milestone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fair value of contingent milestone liabilities reflects the remeasurement of potential future payments due upon our achievement of specified market valuation thresholds within defined contractual periods. These obligations are recorded as liabilities at fair value and remeasured each reporting period, with changes in fair value recognized in our condensed consolidated statements of operations and comprehensive loss. This measurement relies on estimates, including the probability and timing of milestone achievement and expected future Company valuations, and may fluctuate significantly as these estimates and market conditions change.</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primarily consists of interest income generated from interest bearing cash, cash equivalents and investments, change in fair value associated with the financial instruments, and various income or expense items. These amounts may fluctuate significantly from period to period due to changes in market conditions, interest rates, the timing of financing transactions, and the remeasurement of instruments carried at fair value, and therefore may not be indicative of future results. </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 benefit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we generally establish a full valuation allowance against our deferred tax balances, our income tax benefit primarily consists of tax impacts of our deferred income tax assessments resulting from our acquisitions.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w:t>
      </w:r>
    </w:p>
    <w:p>
      <w:pPr>
        <w:pStyle w:val="TextBody"/>
        <w:bidi w:val="0"/>
        <w:jc w:val="left"/>
        <w:rPr/>
      </w:pPr>
      <w:r>
        <w:rPr/>
        <w:t> </w:t>
      </w:r>
    </w:p>
    <w:tbl>
      <w:tblPr>
        <w:tblW w:w="9971" w:type="dxa"/>
        <w:jc w:val="left"/>
        <w:tblInd w:w="0" w:type="dxa"/>
        <w:tblLayout w:type="fixed"/>
        <w:tblCellMar>
          <w:top w:w="28" w:type="dxa"/>
          <w:left w:w="28" w:type="dxa"/>
          <w:bottom w:w="28" w:type="dxa"/>
          <w:right w:w="28" w:type="dxa"/>
        </w:tblCellMar>
      </w:tblPr>
      <w:tblGrid>
        <w:gridCol w:w="4946"/>
        <w:gridCol w:w="146"/>
        <w:gridCol w:w="211"/>
        <w:gridCol w:w="841"/>
        <w:gridCol w:w="166"/>
        <w:gridCol w:w="146"/>
        <w:gridCol w:w="211"/>
        <w:gridCol w:w="736"/>
        <w:gridCol w:w="166"/>
        <w:gridCol w:w="211"/>
        <w:gridCol w:w="736"/>
        <w:gridCol w:w="166"/>
        <w:gridCol w:w="146"/>
        <w:gridCol w:w="146"/>
        <w:gridCol w:w="481"/>
        <w:gridCol w:w="516"/>
      </w:tblGrid>
      <w:tr>
        <w:trPr/>
        <w:tc>
          <w:tcPr>
            <w:tcW w:w="4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contingent milestone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preferred stock tranche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periods presented (in thousands): </w:t>
      </w:r>
    </w:p>
    <w:p>
      <w:pPr>
        <w:pStyle w:val="TextBody"/>
        <w:bidi w:val="0"/>
        <w:jc w:val="left"/>
        <w:rPr/>
      </w:pPr>
      <w:r>
        <w:rPr/>
        <w:t> </w:t>
      </w:r>
    </w:p>
    <w:tbl>
      <w:tblPr>
        <w:tblW w:w="9779" w:type="dxa"/>
        <w:jc w:val="left"/>
        <w:tblInd w:w="0" w:type="dxa"/>
        <w:tblLayout w:type="fixed"/>
        <w:tblCellMar>
          <w:top w:w="28" w:type="dxa"/>
          <w:left w:w="28" w:type="dxa"/>
          <w:bottom w:w="28" w:type="dxa"/>
          <w:right w:w="28" w:type="dxa"/>
        </w:tblCellMar>
      </w:tblPr>
      <w:tblGrid>
        <w:gridCol w:w="4736"/>
        <w:gridCol w:w="146"/>
        <w:gridCol w:w="231"/>
        <w:gridCol w:w="741"/>
        <w:gridCol w:w="160"/>
        <w:gridCol w:w="160"/>
        <w:gridCol w:w="231"/>
        <w:gridCol w:w="741"/>
        <w:gridCol w:w="146"/>
        <w:gridCol w:w="211"/>
        <w:gridCol w:w="676"/>
        <w:gridCol w:w="166"/>
        <w:gridCol w:w="146"/>
        <w:gridCol w:w="146"/>
        <w:gridCol w:w="526"/>
        <w:gridCol w:w="616"/>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AEEFB"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Danicamtiv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Ataciguat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Tonlamarsen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12,732</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56,365</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expenses were $56.4 million for the three months ended June 30, 2026, compared to $35.8 million for the three months ended June 30, 2025, representing an increase of $20.6 million period over period. This increase was primarily driven by an increase in total program expenses, reflecting expanded clinical activity across our pipeline. Danicamtiv program expenses increased by $12.3 million, reflecting the initiation of the Phase 2b/3 clinical trial in October 2025. Ataciguat and Tonlamarsen programs spending was relatively flat, as development activities continued at a consistent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program expenses, our compensation and benefits expenses for personnel engaged in research and development efforts increased by $3.7 million, largely attributable to the headcount growth supporting our expanding research and development operations. The remaining $5.2 million increase in other research and development expenses mainly consisted of $2.5 million of higher outside consulting costs and $1.4 million of acquired IPR&amp;D expense.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$18.9 million for the three months ended June 30, 2026, compared to $21.3 million for the three months ended June 30, 2025, representing a decrease of $2.4 million period over period. The decrease was primarily driven by one-time stock-based compensation expense related to integration bonus of $11.7 million recognized in general and administrative expenses for three months ended June 30, 2025, offset by $8.2 million of higher personnel-related costs and $1.1 million of higher other expenses, including professional services, insurance, facilities-related costs and other corporate overhead.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contingent milestone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milestone liabilities was $43.5 million for the three months ended June 30, 2026, primarily driven by the increase in our market valuation following the completion of our IPO in June 2026, which increased the probability of achieving our market valuation thresholds underlying the amended milestones. No change in fair value of contingent milestone liabilities was recognized for the three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$2.8 million for the three months ended June 30, 2026, compared to $1.1 million for the three months ended June 30, 2025. The increase of $1.7 million period over period was primarily attributable to higher average balances of cash, cash equivalents and investments following the proceeds from our initial public offering and from redeemable convertible preferred stock issuances completed after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Change in fair value of preferred stock tranche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Series A redeemable convertible preferred stock tranche obligations was a loss of $1.3 million for the three months ended June 30, 2025, related to the remeasurement of the Second Tranche obligation prior to its closing. The Second Tranche of the Series A Preferred Stock closed in August 2025, and accordingly, no change in fair value was recorded for the three months ended June 30, 2026.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periods presented (in thousands): </w:t>
      </w:r>
    </w:p>
    <w:p>
      <w:pPr>
        <w:pStyle w:val="TextBody"/>
        <w:bidi w:val="0"/>
        <w:jc w:val="left"/>
        <w:rPr/>
      </w:pPr>
      <w:r>
        <w:rPr/>
        <w:t> </w:t>
      </w:r>
    </w:p>
    <w:tbl>
      <w:tblPr>
        <w:tblW w:w="9971" w:type="dxa"/>
        <w:jc w:val="left"/>
        <w:tblInd w:w="0" w:type="dxa"/>
        <w:tblLayout w:type="fixed"/>
        <w:tblCellMar>
          <w:top w:w="28" w:type="dxa"/>
          <w:left w:w="28" w:type="dxa"/>
          <w:bottom w:w="28" w:type="dxa"/>
          <w:right w:w="28" w:type="dxa"/>
        </w:tblCellMar>
      </w:tblPr>
      <w:tblGrid>
        <w:gridCol w:w="4946"/>
        <w:gridCol w:w="146"/>
        <w:gridCol w:w="211"/>
        <w:gridCol w:w="841"/>
        <w:gridCol w:w="166"/>
        <w:gridCol w:w="146"/>
        <w:gridCol w:w="211"/>
        <w:gridCol w:w="736"/>
        <w:gridCol w:w="166"/>
        <w:gridCol w:w="211"/>
        <w:gridCol w:w="736"/>
        <w:gridCol w:w="166"/>
        <w:gridCol w:w="146"/>
        <w:gridCol w:w="146"/>
        <w:gridCol w:w="481"/>
        <w:gridCol w:w="516"/>
      </w:tblGrid>
      <w:tr>
        <w:trPr/>
        <w:tc>
          <w:tcPr>
            <w:tcW w:w="4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contingent milestone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preferred stock tranche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CAEEFB"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periods presented (in thousands): </w:t>
      </w:r>
    </w:p>
    <w:p>
      <w:pPr>
        <w:pStyle w:val="TextBody"/>
        <w:bidi w:val="0"/>
        <w:jc w:val="left"/>
        <w:rPr/>
      </w:pPr>
      <w:r>
        <w:rPr/>
        <w:t> </w:t>
      </w:r>
    </w:p>
    <w:tbl>
      <w:tblPr>
        <w:tblW w:w="9686" w:type="dxa"/>
        <w:jc w:val="left"/>
        <w:tblInd w:w="0" w:type="dxa"/>
        <w:tblLayout w:type="fixed"/>
        <w:tblCellMar>
          <w:top w:w="28" w:type="dxa"/>
          <w:left w:w="28" w:type="dxa"/>
          <w:bottom w:w="28" w:type="dxa"/>
          <w:right w:w="28" w:type="dxa"/>
        </w:tblCellMar>
      </w:tblPr>
      <w:tblGrid>
        <w:gridCol w:w="4736"/>
        <w:gridCol w:w="146"/>
        <w:gridCol w:w="211"/>
        <w:gridCol w:w="781"/>
        <w:gridCol w:w="146"/>
        <w:gridCol w:w="146"/>
        <w:gridCol w:w="211"/>
        <w:gridCol w:w="676"/>
        <w:gridCol w:w="146"/>
        <w:gridCol w:w="211"/>
        <w:gridCol w:w="676"/>
        <w:gridCol w:w="166"/>
        <w:gridCol w:w="146"/>
        <w:gridCol w:w="146"/>
        <w:gridCol w:w="526"/>
        <w:gridCol w:w="616"/>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AEEFB"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Danicamtiv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Ataciguat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Tonlamarsen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expenses were $101.4 million for the six months ended June 30, 2026, compared to $54.6 million for the six months ended June 30, 2025, representing an increase of $46.8 million period over period. This increase was primarily driven by an increase in total program expenses, reflecting expanded clinical activity across our pipeline. Ataciguat program expenses increased by $6.8 million, primarily due to the initiation and ramp-up of the Phase 2b clinical trial commencing in June 2025. Danicamtiv program expenses increased by $22.7 million, reflecting the initiation of the Phase 2b/3 clinical trial in October 2025. Tonlamarsen program spending was relatively flat, as development activities continued at a consistent level.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program expenses, our compensation and benefits expenses for personnel engaged in research and development efforts increased by $9.8 million, largely attributable to the headcount growth supporting our expanding research and development operations. The remaining $8.0 million increase in other research and development expenses mainly consisted of $4.0 million of higher outside consulting costs, $2.5 million of higher facilities costs, $1.7 million of additional depreciation and amortization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were $32.5 million for the six months ended June 30, 2026, compared to $28.6 million for the six months ended June 30, 2025, representing an increase of $3.9 million period over period. The increase was primarily driven by $12.2 million of higher personnel-related costs and $3.4 million of higher other expenses, including professional services, insurance, facilities-related costs and other corporate overhead, offset by one-time stock-based compensation expense related to integration bonus of $11.7 million recognized in general and administrative expenses for three months ended June 30, 2025.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Change in fair value of contingent milestone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milestone liabilities was $43.5 million for the six months ended June 30, 2026, primarily driven by the increase in our market valuation following the completion of our IPO in June 2026, which increased the probability of achieving our market valuation thresholds underlying the amended milestones. No change in fair value of contingent milestone liabilities was recognized for the six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was $5.6 million for the six months ended June 30, 2026, compared to $1.9 million for the six months ended June 30, 2025. The increase of $3.7 million period over period was primarily attributable to higher average balances of cash, cash equivalents and investments following the proceeds from our initial public offering and redeemable convertible preferred stock issuances completed after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Change in fair value of preferred stock tranche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Series A redeemable convertible preferred stock tranche obligations was a loss of $3.9 million for the six months ended June 30, 2025, related to the remeasurement of the Second Tranche obligation prior to its closing. The Second Tranche of the Series A Preferred Stock was closed in August 2025, and accordingly, no change in fair value was recorded for the six months ended June 30, 2026. </w:t>
      </w:r>
    </w:p>
    <w:p>
      <w:pPr>
        <w:pStyle w:val="TextBody"/>
        <w:bidi w:val="0"/>
        <w:spacing w:before="360" w:after="283"/>
        <w:jc w:val="left"/>
        <w:rPr>
          <w:rFonts w:ascii="Times New Roman" w:hAnsi="Times New Roman"/>
          <w:sz w:val="20"/>
        </w:rPr>
      </w:pPr>
      <w:r>
        <w:rPr>
          <w:rFonts w:ascii="Times New Roman" w:hAnsi="Times New Roman"/>
          <w:i/>
          <w:color w:val="000000"/>
          <w:sz w:val="20"/>
        </w:rPr>
        <w:t>Bargain purchase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bargain purchase gain of $5.2 million for the six months ended June 30, 2025 was related to the bargain purchase gain recognized upon the acquisition of Prolaio, Inc. in February 2025. </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 benefit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six months ended June 30, 2025, we recorded an income tax benefit of $4.2 million due to deferred tax liabilities assumed in connection with our acquisition of Prolaio, Inc., which supported the realizability of our deferred tax assets and resulted in a partial release of our valuation allowance.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and negative cash flows from operations. We expect to incur significant expenses and operating losses for the foreseeable future as we advance our pipeline and develop our Prolaio platform. Since the completion of our IPO, we have incurred, and expect to incur additional costs associated with operating as a public company. We have funded our operations to date principally through private placements of our redeemable convertible preferred stock and, most recently, through the net proceeds of our IPO. From our inception through June 30, 2026, we have received aggregate gross proceeds of $568.3 million from the sale of our redeemable convertible preferred stock in private placements. On June 22, 2026, we completed our IPO and issued 28,750,000 shares of common stock, including 3,750,000 shares pursuant to the full exercise of the underwriters’ option to purchase additional shares, at a price of $16.00 per share. In connection with the IPO, we received net proceeds of $422.4 million, after deducting $32.2 million in underwriting discounts and commissions, and $5.4 million in other offering costs. We have not generated any revenue or received cost-sharing payments under collaboration or licensing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investments of $660.7 million. Based on our current operating plan, we believe that our existing resources will enable us to fund our operating expenses and capital expenditure requirements for at least twelve months from the date of issuance of the unaudited condensed consolidated financial statements included elsewhere in this Quarterly Report. We have based this estimate on assumptions that may prove to be wrong, and we could exhaust our available capital resources sooner than we expect. Our forecast for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product candidates in clinical trials is costly, and the timing of progress and expenses in these studies and trials is uncertain. We will need to raise substantial additional capital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expansions, results, costs and timing of, discovery, preclinical studies and clinical trials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maintaining, improving and developing our Prolaio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current and future product candidates and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licenses and other similar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legal costs of obtaining, maintaining and enforcing our patents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preclinical and potential future clinical activities increase;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current and future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any products or technologies that we may in-license or acquire.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current or future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our current and future product candidates even if we would otherwise prefer to develop and market such product candidates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the net cash flow activity for the six months ended June 30, 2026 and 2025 (in thousands): </w:t>
      </w:r>
    </w:p>
    <w:p>
      <w:pPr>
        <w:pStyle w:val="TextBody"/>
        <w:bidi w:val="0"/>
        <w:jc w:val="left"/>
        <w:rPr/>
      </w:pPr>
      <w:r>
        <w:rPr/>
        <w:t> </w:t>
      </w:r>
    </w:p>
    <w:tbl>
      <w:tblPr>
        <w:tblW w:w="7804" w:type="dxa"/>
        <w:jc w:val="left"/>
        <w:tblInd w:w="0" w:type="dxa"/>
        <w:tblLayout w:type="fixed"/>
        <w:tblCellMar>
          <w:top w:w="28" w:type="dxa"/>
          <w:left w:w="28" w:type="dxa"/>
          <w:bottom w:w="28" w:type="dxa"/>
          <w:right w:w="28" w:type="dxa"/>
        </w:tblCellMar>
      </w:tblPr>
      <w:tblGrid>
        <w:gridCol w:w="4911"/>
        <w:gridCol w:w="146"/>
        <w:gridCol w:w="211"/>
        <w:gridCol w:w="841"/>
        <w:gridCol w:w="166"/>
        <w:gridCol w:w="146"/>
        <w:gridCol w:w="211"/>
        <w:gridCol w:w="781"/>
        <w:gridCol w:w="39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net cash used in operating activities was $107.3 million, compared to $52.8 million for the six months ended June 30, 2025. The $54.5 million increase in operating cash usage primarily reflects our expanded operating scale, continued advancement of our development portfolio and organizational growth to support these initiatives.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2026 was $107.3 million, primarily driven by our net loss of $172.3 million partially offset by adjustments to the net loss totaling $61.9 million. The adjustments to the net loss included change in fair value of contingent milestone liabilities of $43.5 million, stock-based compensation expense of $17.1 million, depreciation and amortization expense of $3.2 million, acquired IPR&amp;D expense of $1.4 million and amortization of right-of-use assets of $1.1 million, partially offset by amortization of premiums and accretion of discounts on investments by $1.8 million and other non-cash charges of $2.6 million. Operating cash flows were further impacted by $3.1 million of net cash inflows due to changes in operating assets and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$52.8 million, primarily driven by our net loss of $75.5 million partially offset by adjustments to the net loss totaling $18.3 million. The adjustments to the net loss included non-cash charges of $14.4 million related to integration bonus expense, $7.2 million related to stock-based compensation expense, and $3.9 million related to the change in fair value of preferred stock tranche obligations, and non-cash gains, including bargain purchase gain of $5.2 million and deferred income tax benefit of $4.2 million. Changes in operating assets and liabilities resulted in an additional $4.4 million in net cash inflows. </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$54.9 million for the six months ended June 30, 2026, compared to $6.6 million net cash used in investing activities for the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used in investing activities for the six months ended June 30, 2026 consisted primarily of $50.0 million of net purchases of investments, partially offset by $2.8 million of capitalized software development costs and $2.1 million used to purchase property and equipment to support the expansion of our laboratory, and corporate infrastructure.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six months ended June 30, 2025, net cash used in investing activities was $6.6 million, primarily reflecting the cash portion of the consideration paid for the acquisition of Prolaio, Inc. of $4.0 million and $2.6 million used to purchase property and equipment.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$437.2 million for the six months ended June 30, 2026, compared to $100.2 million for the six months ended June 30, 2025. Financing activities for the six months ended June 30, 2026 consisted primarily of IPO proceeds of $427.8 million, net of underwriters' commissions, $1.8 million of offering costs paid, and $10.0 million of proceeds from issuance of preferred stock. For the six months ended June 30, 2025, financing activities consisted primarily of $100.0 million from issuance of preferred stock, net of issuance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lease office space in South San Francisco, California under an operating lease that expires in April 2030 and lease office space in Princeton, New Jersey under an operating lease that expires in March 2033. See Note 7, “</w:t>
      </w:r>
      <w:r>
        <w:rPr>
          <w:rFonts w:ascii="Times New Roman" w:hAnsi="Times New Roman"/>
          <w:i/>
          <w:color w:val="000000"/>
          <w:sz w:val="20"/>
        </w:rPr>
        <w:t>Leases</w:t>
      </w:r>
      <w:r>
        <w:rPr>
          <w:rFonts w:ascii="Times New Roman" w:hAnsi="Times New Roman"/>
          <w:color w:val="000000"/>
          <w:sz w:val="20"/>
        </w:rPr>
        <w:t xml:space="preserve">” in our unaudited condensed consolidated financial statements appearing elsewhere in this Quarterly Report on Form 10-Q for more information on our lease obligations.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and other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enter into contracts in the normal course of business with third-party CROs, CMOs and other third-party vendors for preclinical, clinical trials and testing and manufacturing services. These contracts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 For further information regarding certain of our license agreements and amounts that could become payable in the future under those agreements, please see Note 8, “</w:t>
      </w:r>
      <w:r>
        <w:rPr>
          <w:rFonts w:ascii="Times New Roman" w:hAnsi="Times New Roman"/>
          <w:i/>
          <w:color w:val="000000"/>
          <w:sz w:val="20"/>
        </w:rPr>
        <w:t>Commitments and Contingencies</w:t>
      </w:r>
      <w:r>
        <w:rPr>
          <w:rFonts w:ascii="Times New Roman" w:hAnsi="Times New Roman"/>
          <w:color w:val="000000"/>
          <w:sz w:val="20"/>
        </w:rPr>
        <w:t xml:space="preserve">” in our unaudited condensed consolidated financial statements appearing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i/>
          <w:color w:val="000000"/>
          <w:sz w:val="20"/>
        </w:rPr>
        <w:t>Merger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Acquisition of Prolaio,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24, 2025, we entered into an Agreement and Plan of Merger (the “Original Prolaio Merger Agreement”), as amended by Amendment No. 1 (as defined below) (together, the “Amended Prolaio Merger Agreement”), with Prolaio, Inc., pursuant to which we acquired 100% of the outstanding capital stock of Prolaio, Inc. Upon the consummation of the merger, Prolaio, Inc. became our wholly-owned subsidiary. Through the acquisition of Prolaio, Inc., we gained access to Prolaio, Inc.’s cardiovascular data collection and analytics platform. The total purchase consideration transferred was approximately $8.6 million, consisting of approximately $4.0 million in cash, primarily used to settle certain of Prolaio, Inc.’s outstanding debts, and fair value of contingent consideration of $4.6 million, representing the estimated acquisition date fair value of milestone payments. Pursuant to the Original Prolaio Merger Agreement, the former stockholders of Prolaio, Inc. were entitled to an aggregate of up to $200 million in milestone payments, which were payable as follows: (i) up to $50 million upon (A) our completion of a qualifying Phase 2 or Phase 3 clinical trial, (B) there being at least 500 Kardigan clinical trial patients managed and screened by Prolaio, (C) our achievement of annual gross revenues of $15 million from the sale of Prolaio products and services and (D) Prolaio achieving improvements in patient screening rates; (ii) up to $100 million upon (A) our completion of a qualifying Phase 2 or Phase 3 clinical trial, (B) there being at least 1,500 Kardigan clinical trial patients managed and screened by Prolaio, (C) our achievement of annual gross revenues of $25 million from the sale of Prolaio products and services and (D) Prolaio’s achievement of improvements in patient screening rates; (iii) up to $200 million upon (A) our completion of a qualifying Phase 2 or Phase 3 clinical trial, (B) there being at least 5,000 Kardigan clinical trial patients managed and screened by Prolaio, (C) our achievement annual gross revenues of $25 million from the sale of Prolaio products and services and (D) Prolaio’s achievement of improvements in patient screening rates; (iv) up to $200 million upon (A) our completion of a qualifying Phase 2 or Phase 3 clinical trial and (B) our achievement of annual net sales of $50 million from the sale of Prolaio products and services; and (v) 50% of Eligible Payments (as defined below) upon (A) our completion of a qualifying Phase 2 or Phase 3 clinical trial and (B) the execution of a commercial transaction for Prolaio products and services that results in payments to Kardigan, as calculated in accordance with terms of the Original Prolaio Merger Agreement (“Eligible Payments”); in each case excluding intercompany transactions, to the extent such milestones are achieved on or before February 28, 2029.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concluded that Prolaio, Inc. constitutes a business and the transaction was accounted for as a business combination. In connection with the acquisition, we recorded $13.8 million of net assets acquired, primarily consisting of developed technology with a fair value of $25.4 million, acquired IPR&amp;D asset with a fair value of $1.1 million, and $13.8 million in liabilities assumed, including $4.5 million of deferred income tax liability and $3.3 million of assumed contingent consideration liability. Because the fair value of net identifiable assets acquired exceeded the fair value of the consideration transferred, we recognized a gain on bargain purchase in an amount of $5.2 million in the condensed consolidated statement of operations and comprehensive loss for the three months ended June 30, 2025 and for the year ended December 31, 2025. The bargain purchase gain reflects our ability to acquire Prolaio at a purchase price below the fair value of the acquired net assets due to a combination of factors, including Prolaio’s limited operating scale, historical operating losses, liquidity constraints at the time of the transaction, and the structure of the consideration transferred. In particular, concurrent with the acquisition, we entered into integration bonus arrangements with our Chief Executive Officer and Chief Medical Officer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(“Integration Bonus”), both of whom were cofounders and Prolaio shareholders. These arrangements were contingent upon post-combination services and successful integration and, accordingly, were accounted for as compensation expense rather than consideration transferred.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2026, we entered into Amendment No. 1 to Agreement and Plan of Merger (“Amendment No. 1”) with the former stockholders of Prolaio, Inc. in order to amend the milestone provisions applicable to such stockholders, including Mr. Gianakakos and Dr. Edelberg. In particular, the milestones were revised to: (i) better align the incentives of the former stockholders of Prolaio, Inc., in their capacities as executive officers and employees of Kardigan, with the creation of stockholder value for us and (ii) better reflect our current operations and strategic direction following the acquisition, including our focus on deploying the Prolaio platform in support of its own clinical trials, and to ensure that the milestones remained aligned with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Amended Prolaio Merger Agreement and subject to the conditions therein, the former stockholders of Prolaio, Inc., including Mr. Gianakakos and Dr. Edelberg, are entitled to milestone payments as follows: (i) up to $50 million upon our achievement of a valuation equal to or greater than $5.0 billion; (ii) up to $50 million upon our achievement of a valuation equal to or greater than $6.0 billion; and (iii) up to $100 million upon our achievement of a valuation equal to or greater than $12.0 billion; in each case to the extent such milestones are achieved on or before May 1, 2032. Such milestone payments shall be payable in cash or shares of our common stock, at our election.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Prolaio amendment, changes in the fair value of the contingent consideration were recognized in R&amp;D expenses in the condensed consolidated statements of operations and comprehensive loss. Subsequent to the Prolaio amendment, changes in the fair value of the contingent milestone liabilities are recognized in change in fair value of contingent milestone liabilities, in the condensed consolidated statements of operations and comprehensive loss. The fair value of the Prolaio Contingent Consideration was $3.8 million as of December 31, 2025. Upon the Prolaio amendment, on May 1, 2026, the Prolaio Contingent Consideration was settled and the new contingent milestone liabilities were recognized at an initial fair value of $13.7 million. The fair value of the contingent milestone liabilities was $47.3 million as of June 30, 2026. We recognized a $43.5 million increase in the fair value of contingent milestone liabilities, which is presented within change in fair value of contingent milestone liabilities in the condensed consolidated statements of operations, for both the three and six months ended June 30, 2026. No change in fair value was recorded in the three and six months ended June 30, 2025. None of the Prolaio milestones, original or amended, had been achieved by June 30, 2026, and no milestone payments have been made. </w:t>
      </w:r>
    </w:p>
    <w:p>
      <w:pPr>
        <w:pStyle w:val="TextBody"/>
        <w:bidi w:val="0"/>
        <w:spacing w:before="360" w:after="283"/>
        <w:jc w:val="left"/>
        <w:rPr>
          <w:rFonts w:ascii="Times New Roman" w:hAnsi="Times New Roman"/>
          <w:sz w:val="20"/>
        </w:rPr>
      </w:pPr>
      <w:r>
        <w:rPr>
          <w:rFonts w:ascii="Times New Roman" w:hAnsi="Times New Roman"/>
          <w:i/>
          <w:color w:val="000000"/>
          <w:sz w:val="20"/>
        </w:rPr>
        <w:t>Acquisition of RSF</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11, 2024, we entered into an Agreement and Plan of Merger with RSF (the “RSF Merger Agreement”), pursuant to which, on June 6, 2024, we acquired 100% of outstanding capital stock of RSF. RSF holds a patent license and know-how agreement with Mayo, originally effective December 6, 2019, as amended, granting an exclusive license to Mayo’s proprietary methods and materials for treating calcific aortic valve stenosis. RSF also holds four exclusive option agreements with Mayo covering additional small-molecule programs and indications. The acquisition included Ataciguat (HMR1766), in addition to RSF’s other existing agreements such as supply and license agreements with Sanofi and its affiliates. The closing was conditioned upon our completion of a Series A redeemable convertible preferred stock financing with gross proceeds of at least $150.0 million, which condition was satisfied on June 6,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initial consideration, the acquisition involved upfront cash payments totaling $3.5 million, the settlement of RSF’s outstanding indebtedness of $10.6 million on June 6, 2024, and the payment of certain transaction costs of $0.7 million incurred by RSF. We accounted for the transaction as the acquisition of a VIE that is not a business. The net assets acquired consisted primarily of the IPR&amp;D asset, cash and cash equivalents in an amount of $0.2 million, and assumed accounts payable for an amount of $1.3 million. Accordingly, the consideration allocated to the IPR&amp;D asset amounted to $15.9 million. The acquired licensed technology was determined to be an IPR&amp;D asset that did not have alternative future use as of the acquisition date, and the full amount was recognized as research and development expense in the consolidated statement of operations and comprehensive loss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initial consideration, and subject to the conditions set forth in the RSF Merger Agreement, the former stockholders of RSF are entitled to milestone payments of up to $26.5 million in development and regulatory milestones, and up to $249.5 million in sales milestones, in each case to be allocated among such former stockholders on a pro rata basis in accordance with their respective ownership interests in RSF immediately prior to the acquisition. We are additionally obligated to pay to the former stockholders of RSF low-single digit tiered royalties on annual net sales of any pharmaceutical product containing Ataciguat. The royalty term ends on a product-by-product and country-by-country basis on the earliest of (i) our cessation of development or commercialization of the applicable product, (ii) the expiration of the last-to-expire valid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claim covering the product in such country, or (iii) the first commercial sale of a generic product in the same indication in such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2025, we achieved the first development milestone associated with Ataciguat upon dosing of the first patient in the Phase 3 clinical trial. This milestone triggered a payment obligation of $3.0 million. As a result, we recognized $3.0 million in research and development expenses for the year ended December 31, 2025 in our consolidated statement of operations and comprehensive loss. Of the total milestone amount, $1.5 million was settled in cash and the remaining $1.5 million was accrued for in our consolidated balance sheet as of December 31, 2025 and as of June 30, 2026 within accrued and other current liabilities. None of the other RSF milestones had been achieved nor were deemed probable and estimable as of June 30, 2026, and no other milestone payments have been made. </w:t>
      </w:r>
    </w:p>
    <w:p>
      <w:pPr>
        <w:pStyle w:val="TextBody"/>
        <w:bidi w:val="0"/>
        <w:spacing w:before="360" w:after="283"/>
        <w:jc w:val="left"/>
        <w:rPr>
          <w:rFonts w:ascii="Times New Roman" w:hAnsi="Times New Roman"/>
          <w:sz w:val="20"/>
        </w:rPr>
      </w:pPr>
      <w:r>
        <w:rPr>
          <w:rFonts w:ascii="Times New Roman" w:hAnsi="Times New Roman"/>
          <w:b/>
          <w:color w:val="000000"/>
          <w:sz w:val="20"/>
        </w:rPr>
        <w:t>License and collaboration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the key terms for certain of our license and collaboration agreements. For a more detailed description of these agreements, see Note 5 to our unaudited condensed consolidated financial statements included elsewhere in this Quarterly Report on Form 10-Q.</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agreements with BMS Co.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we entered into a License Agreement with MyoKardia, a wholly owned subsidiary of BMS Co., related to Danicamtiv and other compounds (the “Dani Agreement”), and a separate License Agreement with BMS Co. related to KAR-141 (formerly known as BMS-986141) (“Par4”) and other compounds (the “Par4 Agreement”). </w:t>
      </w:r>
    </w:p>
    <w:p>
      <w:pPr>
        <w:pStyle w:val="TextBody"/>
        <w:bidi w:val="0"/>
        <w:spacing w:before="360" w:after="283"/>
        <w:jc w:val="left"/>
        <w:rPr>
          <w:rFonts w:ascii="Times New Roman" w:hAnsi="Times New Roman"/>
          <w:sz w:val="20"/>
        </w:rPr>
      </w:pPr>
      <w:r>
        <w:rPr>
          <w:rFonts w:ascii="Times New Roman" w:hAnsi="Times New Roman"/>
          <w:i/>
          <w:color w:val="000000"/>
          <w:sz w:val="20"/>
        </w:rPr>
        <w:t>Dani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Dani Agreement, we received an exclusive, sublicensable (subject to certain conditions and restrictions), royalty-bearing license under certain MyoKardia patents and know-how to develop, manufacture, and commercialize Danicamtiv (formerly known as MYK-491) and certain related compounds thereto (the “Dani Lead Compounds”), certain back-up compounds and certain related compounds thereto (such compounds, collectively with the Dani Lead Compounds, the “Dani Licensed Compounds”), and pharmaceutical products containing the Dani Licensed Lead Compounds (the “Dani Lead Compound Licensed Products”) and pharmaceutical products containing the Dani Back-Up Compounds (such products, collectively with the Dani Lead Compound Licensed Products, the “Dani Licensed Products”) for all human uses worldwide. As partial consideration for the rights granted to us under the Dani Agreement, we entered into a Subscription Agreement with MyoKardia pursuant to which we issued 1,251,107 shares of Series A redeemable convertible preferred stock to MyoKardia. As additional consideration for the licenses granted under the Dani Agreement, we are required to pay MyoKardia: (i) tiered royalties at a rate based on aggregate annual net sales by us, our affiliates and sublicensees of each Dani Licensed Product containing the same Dani Licensed Compound; (ii) a low double-digit percentage of any sublicensing revenue received by us, if we sublicense rights under MyoKardia patents or know-how for the development, manufacture or commercialization of any Dani Lead Compound or Dani Lead Compound Licensed Product to a third party within a certain number of months from the effective date, or November 2026; (iii) up to $42.5 million in the aggregate in development and regulatory milestone payments across all Dani Licensed Products and (iv) up to $265.0 million in sales milestone payments for each of the first two Dani Licensed Products to achieve the applicable sales milestones. Our tiered royalties range from a subteen to high teen percentage of annual net sales of the Dani Licensed Products, subject to potential reductions following the expiration of valid patent claims, due to competition from generic products, for certain third party license fees, and in the event of a limit on the maximum price as a result of the Inflation Reduction Act of 2022 (the “Inflation Reduction Act”), subject to a customary reduction floor and potential carry-forward. </w:t>
      </w:r>
    </w:p>
    <w:p>
      <w:pPr>
        <w:pStyle w:val="TextBody"/>
        <w:bidi w:val="0"/>
        <w:spacing w:before="360" w:after="283"/>
        <w:jc w:val="left"/>
        <w:rPr>
          <w:rFonts w:ascii="Times New Roman" w:hAnsi="Times New Roman"/>
          <w:sz w:val="20"/>
        </w:rPr>
      </w:pPr>
      <w:r>
        <w:rPr>
          <w:rFonts w:ascii="Times New Roman" w:hAnsi="Times New Roman"/>
          <w:i/>
          <w:color w:val="000000"/>
          <w:sz w:val="20"/>
        </w:rPr>
        <w:t>Par4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Par4 Agreement, we received an exclusive, sublicensable (subject to certain conditions and restrictions), royalty-bearing license under certain BMS Co. patents and know-how to develop, manufacture, and commercialize Par4 and certain related compounds thereto (the “Par4 Lead Compounds”), certain back-up compounds and certain related compounds thereto (such compounds, collectively with the Par4 Lead Compounds, the “Par4 Licensed Compounds”), pharmaceutical products containing the Par4 Lead Compounds (the “Par4 Lead Compound Licensed Products”) and pharmaceutical products containing the Par4 Back-Up Compounds (such products, collectively with the Par4 Lead Compound Licensed Products, the “Par4 Licensed Products”) for all human uses worldwide. As partial consideration for the rights granted under the Par4 Agreement, we entered into a Subscription Agreement with BMS Co. pursuant to which we issued 293,469 shares of Series A redeemable convertible preferred stock. As additional consideration for the licenses granted under the Par4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we are required to pay BMS Co.: (i) tiered royalties at a rate based on aggregate annual net sales by us, our affiliates and sublicensees of each Par4 Licensed Product containing the same Par4 Licensed Compound; (ii) a low double-digit percentage of any sublicensing revenue received by us, if we sublicense rights under BMS Co. patents or know-how for the development, manufacture or commercialization of any Par4 Lead Compound or Par4 Lead Compound Licensed Product to a third party within a certain number of months from the effective date, or November 2026; (iii) up to $10.0 million in the aggregate in development and regulatory milestone payments across all Par4 Licensed Products and (iv) up to $265.0 million in sales milestone payments for each of the first two Par4 Licensed Products to achieve the applicable sales milestones. Our tiered royalties range from a subteen to high teen percentage of annual net sales of the Par4 Licensed Products, subject to potential reductions following the expiration of valid patent claims, due to competition from generic products, for certain third party license fees, and in the event of a limit on the maximum price as a result of the Inflation Reduction Act, subject to a customary reduction floor and potential carry-forward. Additionally, certain BMS Co. patents and know-how are sublicensed by BMS Co. pursuant to an upstream license agreement with a university and we are responsible for reimbursing BMS Co. for certain milestone payments and other amounts payable under such upstream agreement that arise from our development, manufacturing or commercialization activities under the Par4 Agreement. The milestone reimbursement obligations include up to (i) $12.5 million in the aggregate in development and regulatory milestone payments per certain Par4 Licensed Products and (ii) $13.625 million in the aggregate in development and regulatory milestone payments per certain other Par4 Licensed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Dani and Par4 license agreements, we issued an aggregate of 1,544,576 shares of Series A redeemable convertible preferred stock to MyoKardia and BMS Co., including 1,251,107 shares of Series A redeemable convertible preferred stock under the Dani Agreement, and 293,469 shares of Series A redeemable convertible preferred stock under Par4 Agreement, at the estimated fair value of $19.10 per share as of issuance date, with a total estimated fair value of $29.5 million. We determined that the Dani and Par4 licenses represent acquired IPR&amp;D assets that did not have alternative future use as of the acquisition date, and, accordingly, an amount of $29.5 million was recognized as research and development expense in the consolidated statement of operations and comprehensive loss for the year ended December 31, 2024. As of June 30, 2026, none of the Dani milestones or Par4 milestones had been achieved nor were deemed probable or estimable, and no milestone payments have been made. </w:t>
      </w:r>
    </w:p>
    <w:p>
      <w:pPr>
        <w:pStyle w:val="TextBody"/>
        <w:bidi w:val="0"/>
        <w:spacing w:before="360" w:after="283"/>
        <w:jc w:val="left"/>
        <w:rPr>
          <w:rFonts w:ascii="Times New Roman" w:hAnsi="Times New Roman"/>
          <w:sz w:val="20"/>
        </w:rPr>
      </w:pPr>
      <w:r>
        <w:rPr>
          <w:rFonts w:ascii="Times New Roman" w:hAnsi="Times New Roman"/>
          <w:i/>
          <w:color w:val="000000"/>
          <w:sz w:val="20"/>
        </w:rPr>
        <w:t>License agreement with Ionis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7, 2024, we entered into a License Agreement (the “Ionis License Agreement”) with Ionis, pursuant to which we were granted an exclusive, worldwide, sublicensable (subject to certain conditions and restrictions), royalty-bearing license under certain Ionis intellectual property to develop and commercialize Tonlamarsen (formerly ION904) and products containing Tonlamarsen (the “Licensed Ionis Products”) in the field of prophylactic or therapeutic use in humans (the “Ionis Licensed Field”). We also received a non-exclusive, worldwide, sublicensable (subject to certain conditions and restrictions), royalty-bearing license under certain Ionis intellectual property to manufacture Tonlamarsen and Licensed Ionis Products in the Ionis Licensed Field. Until the third anniversary of the effective date of the Ionis License Agreement, or June 2027, neither party may develop or commercialize, or assist or grant a third party rights to develop or commercialize certain ASOs designed to bind to the RNA encoded by the human angiotensinogen gene, subject to certain conditions and exceptions. As initial consideration for the Ionis License Agreement, we made an upfront payment of $20.0 million to Ionis. We determined that the licenses represent an acquired IPR&amp;D asset that did not have alternative future use as of the acquisition date, and, accordingly, the total amount of the upfront payment of $20.0 million was recognized as research and development expense in the consolidated statement of operations and comprehensive loss for the year ended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additional consideration for the licenses and rights granted to us by Ionis, we are required to pay Ionis: (i) milestone payments in the event of successful achievement of specified development and sales milestones of up to an aggregate of $375.0 million (up to $35.0 million in development and regulatory milestone payments and up to $340.0 million in sales milestone payments); (ii) tiered royalties on net sales of Ionis Licensed Products by us, our affiliates and sublicensees with a rate based on net sales per calendar year, ranging from a subteen percentage to high teen percentage. The royalties are subject to potential reductions under certain scenarios. In the event that we undergo a change of control prior to receiving regulatory approval by the FDA and are acquired by one of certain top biopharmaceutical or pharmaceutical companies, if the acquisition price exceeds a certain dollar value, we will be required to pay Ionis a one-time change of control payment based on the acquisition price, ranging in the low tens of millions of dollars. The payment will accrue interest at a subteen percentage per annum, compounded annually, from the date of the Ionis License Agreement through the date such payment is made. As of June 30, 2026, none of the Ionis milestones had been achieved nor were deemed probable and estimable, and no milestone payments have been made.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License agreement with Sanofi</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 2021, RSF entered into a license agreement with Sanofi, as subsequently amended on March 18, 2022, January 9, 2023, and November 7, 2025 (collectively, the “Sanofi License”), under which RSF received a worldwide, exclusive, sublicensable (subject to certain conditions and restrictions), royalty-bearing license under certain Sanofi know-how to exploit Ataciguat (also known as HMR1766) and pharmaceutical products containing Ataciguat (“Ataciguat Products”) for all human and mammalian therapeutic, prophylactic and diagnostic uses (the “Sanofi License Field”). RSF became our wholly owned subsidiary in June 2024. If we succeed in developing and commercializing Ataciguat Products, we will be obligated to pay Sanofi up to an aggregate of $14.8 million in potential commercial milestone payments. As of June 30, 2026, none of the Sanofi milestones had been achieved nor were deemed probable and estimable, and no milestone payments have been made. We are also obligated to pay Sanofi tiered royalties ranging from low-single digit to mid-single digit percentages on worldwide annual net sales of Ataciguat Products by us or our affiliates and sublicensees. </w:t>
      </w:r>
    </w:p>
    <w:p>
      <w:pPr>
        <w:pStyle w:val="TextBody"/>
        <w:bidi w:val="0"/>
        <w:spacing w:before="360" w:after="283"/>
        <w:jc w:val="left"/>
        <w:rPr>
          <w:rFonts w:ascii="Times New Roman" w:hAnsi="Times New Roman"/>
          <w:sz w:val="20"/>
        </w:rPr>
      </w:pPr>
      <w:r>
        <w:rPr>
          <w:rFonts w:ascii="Times New Roman" w:hAnsi="Times New Roman"/>
          <w:i/>
          <w:color w:val="000000"/>
          <w:sz w:val="20"/>
        </w:rPr>
        <w:t>Patent license and know-how agreement with Mayo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6, 2019, RSF entered into a license agreement with Mayo, as amended on May 20, 2021, August 23, 2023, March 10, 2024, June 6, 2024, and December 22, 2025 (collectively, the “Mayo License”), under which RSF received (i) a worldwide exclusive license with the right to sublicense (through multiple tiers) under certain Mayo patent rights, (ii) a nonexclusive license with the right to sublicense (through multiple tiers) to use certain know-how and materials, and (iii) a nonexclusive worldwide license, with the right to sublicense (through multiple tiers) in connection with a sublicense of the Mayo patent rights or know-how, subject to approval from Mayo, to use certain Mayo data, in each case in (i) through (iii), to develop, make, have made, use, offer for sale, sell, and import certain licensed products, including Ataciguat, for the prevention, diagnosis, and/or treatment of any and all human diseases and conditions. We are also obligated to pay Mayo up to $0.3 million in development and regulatory milestone payments and up to $1.3 million in commercial milestone payments for each licensed product to achieve the corresponding milestone events. As of June 30, 2026, none of the Mayo milestones had been achieved nor were deemed probable and estimable, and no milestone payments have been made.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obligated to pay Mayo royalties ranging from a mid-single digit to subteen percentage of worldwide annual net sales by us, our affiliates and sublicensees of licensed products. In the event that we are required to pay a non-affiliate third party certain consideration for a license under intellectual property rights owned or controlled by such non-affiliate third party that are required for the manufacture, use or sale of the licensed products, we can deduct a certain amount of such consideration from the royalty payments due to Mayo under the Mayo Agreement, subject to a customary reduction floor.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condensed consolidated financial statements, which are prepared in accordance with generally accepted accounting principles in the United States (“GAAP”). The preparation of our condensed consolidated financial statements requires us to make estimates and assumptions that affect the reported amounts of assets, liabilities, costs and expenses and the disclosure of contingent assets and liabilities in our condensed consolidated financial statements and accompanying notes. We base our estimates and assumptions on historical experience, known trends and events and various other factors that we believe to be reasonable under the circumstances. We evaluate our estimates and judgments on an ongoing basis. Our actual results may differ from these estimates under different assumptions or conditions. </w:t>
      </w:r>
    </w:p>
    <w:p>
      <w:pPr>
        <w:pStyle w:val="TextBody"/>
        <w:bidi w:val="0"/>
        <w:spacing w:before="120" w:after="283"/>
        <w:jc w:val="left"/>
        <w:rPr>
          <w:rFonts w:ascii="Times New Roman" w:hAnsi="Times New Roman"/>
          <w:sz w:val="20"/>
        </w:rPr>
      </w:pPr>
      <w:r>
        <w:rPr>
          <w:rFonts w:ascii="Times New Roman" w:hAnsi="Times New Roman"/>
          <w:color w:val="000000"/>
          <w:sz w:val="20"/>
        </w:rPr>
        <w:t>See Note 2, “</w:t>
      </w:r>
      <w:r>
        <w:rPr>
          <w:rFonts w:ascii="Times New Roman" w:hAnsi="Times New Roman"/>
          <w:i/>
          <w:color w:val="000000"/>
          <w:sz w:val="20"/>
        </w:rPr>
        <w:t xml:space="preserve">Summary of Significant Accounting Policies” </w:t>
      </w:r>
      <w:r>
        <w:rPr>
          <w:rFonts w:ascii="Times New Roman" w:hAnsi="Times New Roman"/>
          <w:color w:val="000000"/>
          <w:sz w:val="20"/>
        </w:rPr>
        <w:t>to our condensed consolidated financial statements appearing elsewhere in this Quarterly Report on Form 10-Q, for information about our significant accounting policies and estimates used in the preparation of our condensed consolidated financial statements. There have been no significant and material changes in our critical accounting policies during the three and six months ended June 30, 2026, as compared to those disclosed in “Management’s Discussion and Analysis of Financial Condition and Results of Operations” for the year ended December 31, 2025 included in the final prospectus dated June 17, 2026 filed with the Securities and Exchange Commission pursuant to Rule 424(b) under the Securities Act of 1933, as amended.</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as amended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this election, our consolidated financial statements may not be comparable to companies that comply with public company effective dates. We may take advantage of these exemptions up until the time that we are no longer an “emerging growth company.” </w:t>
      </w:r>
    </w:p>
    <w:p>
      <w:pPr>
        <w:pStyle w:val="TextBody"/>
        <w:bidi w:val="0"/>
        <w:spacing w:before="240" w:after="283"/>
        <w:jc w:val="left"/>
        <w:rPr>
          <w:rFonts w:ascii="Times New Roman" w:hAnsi="Times New Roman"/>
          <w:sz w:val="20"/>
        </w:rPr>
      </w:pPr>
      <w:r>
        <w:rPr>
          <w:rFonts w:ascii="Times New Roman" w:hAnsi="Times New Roman"/>
          <w:color w:val="000000"/>
          <w:sz w:val="20"/>
        </w:rPr>
        <w:t>We will remain an emerging growth company until the earlier of the last day of the fiscal year (a) following the fifth anniversary of the completion of the IPO,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prior June 30</w:t>
      </w:r>
      <w:r>
        <w:rPr>
          <w:rFonts w:ascii="Times New Roman" w:hAnsi="Times New Roman"/>
          <w:color w:val="000000"/>
          <w:sz w:val="13"/>
        </w:rPr>
        <w:t>th</w:t>
      </w:r>
      <w:r>
        <w:rPr>
          <w:rFonts w:ascii="Times New Roman" w:hAnsi="Times New Roman"/>
          <w:color w:val="000000"/>
          <w:sz w:val="20"/>
        </w:rPr>
        <w:t xml:space="preserve">, or (d) the date on which we have issued more than $1.0 billion in non-convertible debt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elected to take advantage of certain of the reduced disclosure obligations in this Quarterly Report on Form 10-Q and may elect to take advantage of other reduced reporting requirements in future filings. As a result, the information that we provide to our stockholders may be different than what you might receive from other public reporting companies in which you hold equity interests. In addition, the JOBS Act provides that an “emerging growth company” can take advantage of an extended transition period for complying with new or revised accounting standards.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for so long as either (i) our voting and non-voting common stock held by non-affiliates is less than $250.0 million measured on the last business day of our second fiscal quarter or (ii) our annual revenues are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 description of recently issued accounting pronouncements that may potentially impact our financial position and results of operations is disclosed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condensed consolidated financial statements included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periods presented we did not have, nor do we currently have, any off-balance sheet arrangements as defined in the rules and regulations of the SEC. </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in Rule 12b-2 under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June 30, 2026, the end of the period covered by this Quarterly Report on Form 10-Q. Disclosure controls and procedures are designed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our management recognizes that any controls and procedures, no matter how well designed and operated, can provide only reasonable assurance of achieving the desired control objectives. Based on this evaluation, our Chief Executive Officer and Chief Financial Officer concluded that our disclosure controls and procedures were effective as of June 30, 2026 at the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a transition period established by SEC rules applicable to newly public companies, our management is not required to evaluate the effectiveness of our internal control over financial reporting until the filing of our Annual Report on Form 10-K for the year ended December 31, 2027. As a result, this Quarterly Report on Form 10-Q does not address whether there have been any changes in our internal control over financial reporting.</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our business, financial condition, results of operations and prospects because of defense and settlement costs, diversion of management resources, negative publicity and reputational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item1a_risk_factors"/>
      <w:bookmarkEnd w:id="14"/>
      <w:r>
        <w:rPr>
          <w:rFonts w:ascii="Times New Roman" w:hAnsi="Times New Roman"/>
          <w:b/>
          <w:color w:val="000000"/>
          <w:sz w:val="20"/>
        </w:rPr>
        <w:t>Item 1A. Risk Factors.</w:t>
      </w:r>
    </w:p>
    <w:p>
      <w:pPr>
        <w:pStyle w:val="TextBody"/>
        <w:bidi w:val="0"/>
        <w:jc w:val="left"/>
        <w:rPr>
          <w:rFonts w:ascii="Times New Roman" w:hAnsi="Times New Roman"/>
          <w:sz w:val="20"/>
        </w:rPr>
      </w:pPr>
      <w:r>
        <w:rPr>
          <w:rFonts w:ascii="Times New Roman" w:hAnsi="Times New Roman"/>
          <w:i/>
          <w:color w:val="000000"/>
          <w:sz w:val="20"/>
        </w:rPr>
        <w:t>Our business involves significant risks. Stockholders should carefully consider the risks and uncertainties described below, together with all of the other information included in this Quarterly Report on Form 10-Q, and in the other documents that we file with the SEC. Our business, financial condition, results of operations and prospects could be materially and adversely affected if any of these risks occur, and as a result, the market price of our common stock could decline, and stockholders could lose part or all of their investment.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Quarterly Report also contains forward-looking statements that involve risks and uncertainties not presently known to us or that we currently deem to be immaterial. See “Cautionary Note Regarding Forward-Looking Statements” on page 1 for more information. Our actual results could differ materially and adversely from those anticipated in these forward-looking statements as a result of certain important factors, including those set forth below.</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limited operating history, financial condition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We were formed in August 2023 as EnCarda, Inc., and our operations to date have been limited to organizing and staffing our company, business planning, including our acquisitions, raising capital, identifying, licensing and developing potential product candidates, acquiring, deploying and developing our Prolaio platform and technology, securing intellectual property rights, and planning and undertaking preclinical studies and clinical trials. Our lead product candidates include Danicamtiv for genetic dilated cardiomyopathy (“DCM”), Ataciguat for moderate calcific aortic valve stenosis (“CAVS”) and Tonlamarsen for post-hospitalization management of acute severe hypertension (“ASH”).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yet demonstrated an ability to generate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our business depends primarily upon our ability to identify, develop, and commercialize our product candidates, Danicamtiv, Ataciguat and Tonlamarsen and develop our Prolaio platform. We do not know whether we will be able to develop any product candidates that succeed through preclinical and clinical development or products of commercial value. We have no products approved for commercial sale and have not generated any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$172.3 million and $75.5 million for the six months ended June 30, 2026 and 2025, respectively, and $191.9 million and $88.7 million for the year ended December 31, 2025 and 2024, respectively. As of June 30, 2026, we had not yet generated revenues and had an accumulated deficit of $453.4 million. We expect to continue to incur significant losses for the foreseeable future, and we expect these losses to increase as we continue our research and development of, and seek regulatory approvals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product candidates through clinical development, including as we continue to advance Danicamtiv, Ataciguat and Tonlamarsen in later-stage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our Prolaio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from the U.S. Food and Drug Administration (the “FDA”) or other foreign regulatory authorities for our product candidates that successfully complete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clinical, quality control, medical, scientific and other technical personnel to support the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 increase in headcount as we expand our research and development organization and market development and pre-commercial planning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undertake any pre-commercial or commercial activities to establish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existing and potential future preclinical-stage product candidates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acquire and develop additional product candidates, including through business development efforts to invest in or in-license other technologies or product candidates, which may include opportunities to leverage our Prolaio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heightened regulatory scrutiny;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milestone, royalty or other payments due under our existing license agreements with MyoKardia, Inc. (“MyoKardia”), Bristol-Myers Squibb Company (“BMS Co.”), Sanofi, the Mayo Foundation for Medical Education and Research (“Mayo”) and Ionis Pharmaceuticals, Inc. (“Ionis”) and our purchase agreements with Rancho Santa Fe Bio, Inc. (“RSF”) and Prolaio, Inc., and any future in-license or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milestone, royalty, interest or other payments due under any future licensing, financing or other arrangements with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accounting, and other expenses associated with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biopharmaceutical companies such as ours, should be carefully considered. Any predictions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expenses could increase beyond our expectations if we are required by the FDA, European Medicines Agency (the “EMA”),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in the future. If we are unable to raise capital when needed, or on acceptable terms, we could be forced to delay, reduce or eliminate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biopharmaceutical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our product candidates. Even if our current or future product candidates are approved for commercial sale, we anticipate incurring significant costs associated with commercializing any approved product candidate. To date, we have funded our operations through private financings and our recent initial public offering. We expect our expenses to increase in connection with our ongoing activities, particularly as we continue the clinical and preclinical development of our product candidates, continue to identify new product candidates, develop and deploy our Prolaio platform, commence additional preclinical studies and clinical trials, and continue to identify and develop additional product candidates either through internal development or through acquisitions or in-licensing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$660.7 million of cash, cash equivalents and investments. We believe that our existing cash, cash equivalents and investments will enable us to fund our operating expenses and capital expenditure requirements for at least twelve months from the date of issuance of the unaudited condensed consolidated financial statements included elsewhere in this Quarterly Report. Based on our current operating plan, we expect our current cash runway to support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advancement of Danicamtiv, Ataciguat and Tonlamarsen through clinical data readouts and the initiation of Phase 3 clinical trials across all three programs.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clinical trials required for regulatory approval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any milestones, royalties or other payments due in connection with our acquisitions and licenses, as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clinical and commercial supplies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deploy and develop the Prolaio platform, including in connection with our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macroeconomic trends, including inflation, tariffs and fluctuating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potential supply chain interruptions or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additional businesses, products and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we have incurred and expect to continue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with our existing cash, cash equivalents and short-term investments, any future equity, debt or other financings and upfront and milestone and royalty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the ownership interests of our stockholders will be diluted, and the terms of these securities may include liquidation or other preferences that adversely affect the rights of our stockholders.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highly dependent on the success of our product candidates, particularly Danicamtiv for genetic DCM, Ataciguat for moderate CAVS, and Tonlamarsen for post-hospitalization management of ASH. If we are unable to successfully complete clinical development, obtain regulatory approval for or commercialize one or more of our product candidates, or if we experience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as an organization, we have not completed the development of any product candidates.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particularly Danicamtiv for genetic DCM, Ataciguat for moderate CAVS and Tonlamarsen for ASH, encounters safety or efficacy problems, development delays or regulatory issues or other problems, our development plans and business would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the financial resources to continue development of our product candidates if we experience any issues that delay or prevent regulatory approval of, or our ability to commercialize, our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demonstrate to the satisfaction of the FDA, EMA, or other comparable regulatory authorities that our product candidates are safe and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insufficiency of our financial and other resources to complete the necessary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product-related adverse events (“AEs”) experienced by subjects in our clinical trials, including unexpected toxicity results, or by individuals using drugs or therapeutic biologics similar to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submitting an Investigational New Drug (“IND”) application or other regulatory submission to the FDA, EMA, or other comparable regulatory authorities, or delays or failure in obtaining the necessary approvals from regulators to commence a clinical trial or a suspension or termination, or hold,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imposed by the FDA, EMA, or other comparable regulatory authorities regarding the scope or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better than expected performance of control arms, such as placebo groups, which could lead to negative or inconclusive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enrolling subjects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 drop-out rates of subjects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inadequate supply or quality of product candidates or other materials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than anticipated clinical trial or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FDA, EMA or comparable regulatory authority inspection and review of our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the clinical trial protocol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existing platforms, product candidates or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changes in regulatory requirements, policies and guidelines, including the imposition of additional regulatory oversight around clinical testing generally or with respect to our therapies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insufficiency of our financial and other resources to complete the necessary activities to prepare for launch commercialization and/or resources to address coverage and reimbursement matters to the extent any of our product candidates receive approval;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varying interpretations of data by the FDA, EMA, or other comparable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successful development of pharmaceutical products involves a lengthy and expensive process and is highly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development of pharmaceutical products involves a lengthy and expensive process, is highly uncertain, and is dependent on numerous factors, many of which are beyond our control. Failure can occur at any time during the preclinical study or clinical trial process. A number of companies in the pharmaceutical and biotechnology industries have suffered significant setbacks in clinical development even after achieving promising results in earlier studies, and the historical failure rate for product candidates in our industry is high. The results from preclinical studies or early clinical trials of a product candidate may not predict the results of later clinical trials of the product candidate, and interim results of a clinical trial are not necessarily indicative of final results. Moreover, preclinical and clinical data are often susceptible to varying interpretations and analyses. Product candidates that appear promising in the early phases of development may fail to reach the market for several reasons,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results may show the product candidates to be less effective than expected (for example, a clinical trial could fail to meet its primary or key secondary endpoint(s)) or have an unacceptable safety or tolerability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New Drug Application (“NDA”) or similar foreign application preparation, discussions with the FDA, EMA, or other comparable regulatory authority, an FDA, EMA, or other comparable regulatory request for additional preclinical or clinical data (such as long-term toxicology studies) or unexpected safety or manufacturing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study results may show the product candidate to be less effective than desired or to have harmful side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post-marketing approval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proprietary rights of others and their competing products and technologies that may prevent our product candidates from being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 Even if we are able to obtain coverage and adequate reimbursement for our products once approved, there may be features or characteristics of our products, such as dose preparation requirements, that prevent our products from achieving market acceptance by the healthcare or patient communities.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Good Clinical Practices (“GCPs”) for any clinical trials that we conduct post-approval. In addition, there is always the risk that we, a regulatory authority or a third party might identify previously unknown problems with a product post-approval, such as AEs of unanticipated severity or frequency. Compliance with these requirements is costly, and any failure to comply or other issues with our product candidates post-approval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 product candidates, Danicamtiv for treatment of genetic DCM, Ataciguat for treatment of moderate CAVS, and Tonlamarsen for post-hospitalization management of ASH, are at various stages of clinical development. Danicamtiv is being evaluated in the ongoing KINSHIP-DCM Phase 2b/3 trial, Ataciguat is being evaluated in an ongoing KATALYST-AV Phase 2b trial and Tonlamarsen is being evaluated in the ongoing KARDINAL-ASH Phase 2 trial. We seek to rapidly advance discovery and development of transformational medicines for patients suffering from cardiovascular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cardiovascular diseases,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on our ability to continually enhance and broaden our product offerings in response to changing clinicians’ and patients’ needs, competitive technologies and market pressures. Accordingly, from time to time we may consider opportunities to acquire, make investments in or license other technologies, products and businesses that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 our capabilities, complement our existing products and technologies or expand the breadth of our markets or customer base. For example, in February 2025, we acquired 100% of the equity interests in Prolaio, Inc., a clinical intelligence company developing patient data collection software, and in June 2024, we acquired RSF, a clinical-stage cardiovascular platform company. Potential and completed acquisitions, strategic investments, licenses and other alliances involve numerous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assimilating or integrating acquired or licensed technologies, products, employees or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maintaining uniform standards, procedures, controls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costs associated with acquisitions or strategic alliances, including the assumption of unknown or contingent liabilities and the incurrence of debt or future write-offs of intangible assets or goodwill;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our core business and disruption of ongoing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effects on existing business relationships with suppliers, sales agents, health care facilities, surgeons and other health care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entering new markets in which we have limited or no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losses related to investments in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loss of key employees of acquired businesses;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legal and accounting compliance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 care facilities, physicians or other health 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experience challenges with the acquisition, development, enhancement or deployment of technology necessary for our Prolaio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Prolaio platform requires sophisticated computer systems and software for data collection, data processing, cloud-based platforms, analytics, and other applications and technologies. We are building artificial intelligence (“AI”) technologies into internal applications and solutions and we expect our use of AI to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these technologies are changing rapidly and we must continue to adapt to these changes in a timely and effective manner at an acceptable cost. There can be no guarantee that we will be able to develop, acquire or integrate new technologies, that these new technologies will meet our needs or those of our clients’ or achieve expected investment goals, or that we will be able to do so as quickly or cost-effectively as our competitors. Our continued success will depend on our ability to adapt to changing technologies, manage and process ever-increasing amounts of data and information and improve the performance, features and reliability of our services. We may experience difficulties that could delay or prevent the successful design, development, testing, introduction or marketing of our services. New services, or enhancements to existing services, may not adequately meet our own requirements or those of current and prospective clients or achieve any degree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market acceptance. Regulations relating to the use of AI and the interpretation of those regulations by regulators, courts and others are in the early stages of development and evolving, which may make it difficult to identify adequate compliance requirements or suitable governance practices to meet those requirements. These types of failures could have a material adverse effect on our operating results, financial condition and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may in the future enter into, related party transactions that may have terms that are less favorable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been and may in the future be party to certain transactions with certain entities affiliated with our directors, executive officers and principal stockholders. For example, we acquired Prolaio, Inc. in February 2025 pursuant to an Agreement and Plan of Merger (the “Original Prolaio Merger Agreement”), as amended by Amendment No. 1 (as defined below) (together, the “Amended Prolaio Merger Agreement”). Pursuant to the Original Prolaio Merger Agreement, the former stockholders of Prolaio, Inc. were entitled to an aggregate of up to $200 million in milestone payments, which were payable as follows: (i) up to $50 million upon (A) our completion of a qualifying Phase 2 or Phase 3 clinical trial, (B) there being at least 500 Kardigan clinical trial patients managed and screened by Prolaio, (C) our achievement of annual gross revenues of $15 million from the sale of Prolaio products and services and (D) Prolaio achieving improvements in patient screening rates; (ii) up to $100 million upon (A) our completion of a qualifying Phase 2 or Phase 3 clinical trial, (B) there being at least 1,500 Kardigan clinical trial patients managed and screened by Prolaio, (C) our achievement of annual gross revenues of $25 million from the sale of Prolaio products and services and (D) Prolaio’s achievement of improvements in patient screening rates; (iii) up to $200 million upon (A) our completion of a qualifying Phase 2 or Phase 3 clinical trial, (B) there being at least 5,000 Kardigan clinical trial patients managed and screened by Prolaio, (C) our achievement of annual gross revenues of $25 million from the sale of Prolaio products and services and (D) Prolaio’s achievement of improvements in patient screening rates; (iv) up to $200 million upon (A) our completion of a qualifying Phase 2 or Phase 3 clinical trial and (B) our achievement of annual net sales of $50 million from the sale of Prolaio products and services; and (v) 50% of Eligible Payments (as defined below) upon (A) our completion of a qualifying Phase 2 or Phase 3 clinical trial and (B) the execution of a commercial transaction for Prolaio products and services that results in payments to Kardigan, as calculated in accordance with terms of the Original Prolaio Merger Agreement (“Eligible Payments”); in each case excluding intercompany transactions, to the extent such milestones are achieved on or before February 28, 2029. At the time of the acquisition, Tassos Gianakakos, our Chief Executive Officer, also served as the Chief Executive Officer and a member of the board of directors of Prolaio, Inc. and Jay Edelberg, our Chief Medical Officer, served as Head of Research and Development and a member of the board of directors of Prolaio, Inc. Mr. Gianakakos and Dr. Edelberg beneficially owned 55.7% and 17.1%, respectively, of Prolaio, Inc. at the time of its acquisition by us. If such milestone payments became payable, subject to the maximum aggregate limit of $200 million, Mr. Gianakakos would have been entitled to receive payments of up to $106.6 million in the aggregate, and Dr. Edelberg would have been entitled to receive payments of up to $32.9 million in the aggregate.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2026, we entered into Amendment No. 1 to Agreement and Plan of Merger (“Amendment No. 1”) with the former stockholders of Prolaio, Inc. in order to amend the milestone provisions applicable to such stockholders, including Mr. Gianakakos and Dr. Edelberg. In particular, the milestones were revised to: (i) better align the incentives of the former stockholders of Prolaio, Inc., in their capacities as executive officers and employees of Kardigan, with the creation of stockholder value for Kardigan; and (ii) better reflect our current operations and strategic direction following the acquisition, including our focus on deploying the Prolaio platform in support of our own clinical trials, and to ensure that the milestones remained aligned with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Amended Prolaio Merger Agreement and subject to the conditions therein, the former stockholders of Prolaio, Inc., including Mr. Gianakakos and Dr. Edelberg, are entitled to an aggregate of up to $200 million in milestone payments as follows: (i) up to $50 million upon Kardigan’s achievement of a valuation equal to or greater than $5.0 billion; (ii) up to $50 million upon Kardigan’s achievement of a valuation equal to or greater than $6.0 billion; and (iii) up to $100 million upon Kardigan’s achievement of a valuation equal to or greater than $12.0 billion; in each case to the extent such milestones are achieved on or before May 1, 2032. If such milestone payments become payable, Mr. Gianakakos is entitled to receive payments of up to $12.9 million, $31.3 million and $62.4 million, respectively, pursuant to each milestone, for a total of up to $106.6 million; and Dr. Edelberg is entitled to receive payments of up to $3.6 million, $9.8 million, and $19.5 million, respectively, pursuant to each milestone, for a total of up to $32.9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these transactions are in our best interests, we cannot assure you that these transactions were entered into on terms as favorable to us as those that could have been obtained in an arm’s-length transaction with unaffiliated third-parties. Conversely, we may not be able to enter into transactions with third parties on terms as favorable as the terms of existing or any future transactions with related parties. Further, the appearance of conflicts of interest created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related party transactions could impair the confidence of our investors. It is possible that a conflict of interest could have a material adverse effect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initial public offering, we adopted a written related-person transactions policy that sets forth our policies and procedures regarding the identification, review, consideration and oversight of related-person transactions.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third-parties on which we rely and our service providers are, or may become, subject to a variety of stringent and evolving data privacy and security laws, regulations, and rules, contractual obligations, industry standards, policies and other obligations related to data privacy and security. Any actual or perceived failure to comply with such obligations could expose us to significant fines or other penalties and otherwise harm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(such as our third party Contract Research Organizations (“CROs”) and other contractors and consultants)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(collectively, sensitive data). Through our acquisition of Prolaio, Inc., we have acquired an FDA-cleared patient data collection software platform and cardiovascular clinical data, which we use to enhance data collection and analysis in our clinical trials. Prolaio’s operations significantly expand the volume and sensitivity of patient health data we process, including high-density patient data collected through Prolaio’s data collection software and clinical datasets. Our data processing activities subject us to numerous evolving data privacy and security obligations, such as various laws, regulations, guidance, industry standards, external and internal privacy and security policies, contractual requirements, and other obligations relating to data privacy and security. The legislative and regulatory framework for the processing of personal data worldwide is rapidly evolving and is likely to remain uncertain for the foreseeable future. This evolution may create uncertainty in our business, affect our ability to operate in certain jurisdictions or to collect, store, transfer, use and share sensitive data,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sensitive data could result in negative publicity, government investigations and enforcement actions, claims by third parties and damage to our reputation, any of which could have a material adverse effect on our business,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numerous federal, state and local laws and regulations, including federal health information privacy laws, state information security and data breach notification laws, federal and state consumer protection laws (e.g., Section 5 of the Federal Trade Commission Act), and other similar laws (e.g., wiretapping laws) govern the processing of health-related and other personal data. At a federal level, HIPAA imposes, among other things, certain standards relating to the privacy, security, transmission of and breach reporting related to individually protected identifiable health information (“PHI”). We may obtain health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we knowingly obtain or disclose PHI maintained by a HIPAA covered entity in a manner that is not authorized or permitted by HIPAA. We currently use the Prolaio platform for our own clinical research purposes. To the extent we obtain PHI from covered entities under HIPAA, such as hospitals or clinical trial sites, for use with the Prolaio platform or otherwise, we may be required to enter into data use agreements or business associate agreements and comply with applicable contractual and regulatory requirements for the use and disclosure of such information, including requirements related to de-identification, limited data sets, appropriate administrative, physical and technical safeguards, and breach notification. If we were to expand Prolaio, Inc.’s operations to provide services to external healthcare providers or other covered entities, we could become subject to more extensive HIPAA business associate obligations, including direct enforcement by the U.S. Department of Health and Human Services Office for Civil Rights, which could impose civil monetary penalties as well as criminal penalties for violations of HIPAA.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obtain patient health records through platforms that participate in the Trusted Exchange Framework and Common Agreement (“TEFCA”), a nationwide health information exchange framework established under the 21st Century Cures Act and administered by ONC. TEFCA imposes privacy, security, and individual rights requirements, including individual consent and data deletion rights, on entities that participate in TEFCA exchange activities. We obtain patient records through a third-party platform operating as an Individual Access Services provider under TEFCA, pursuant to which individuals consent to retrieval of their health records for use in our clinical research. Depending on the scope of our participation in TEFCA exchange activities, we may be subject to TEFCA’s contractual obligations, including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that may conflict with data retention requirements under the Common Rule and FDA clinical trial regulations. The application of TEFCA’s requirements to clinical research is an area of evolving legal interpretation for which regulatory guidance remains limited. Failure to comply with applicable TEFCA requirements, or changes in how those requirements are interpreted or enforced, could require us to modify our data collection practices in ways that adversely affect our clinical operations or expose us to contractual liability or regulatory scrutiny.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state level, numerous U.S. states have enacted comprehensive privacy laws, such as the California Consumer Privacy Act (the “CCPA”) and several others that impose certain obligations on covered businesses, including providing specific disclosures in privacy notices and affording individuals certain rights concerning their personal data. Similar laws and several others in several other states, as well as at the federal and local levels, and we expect more states to pass similar laws in the future. While these comprehensive privacy laws that are in effect at the state level generally exempt certain data processed in the context of clinical trials, the continued development of new privacy laws at the state level may further complicate compliance efforts, and increase legal risk and compliance costs for us and the third parties upon whom we rely. Further proposed privacy legislation, if enacted, may add additional complexity, variation in requirements, restrictions and potential legal risk, require additional investment of resources in compliance programs, impact strategies and the availability of data and information that could be of potential use to the growth and development of our business and could result in increased compliance costs and/or the necessity of making changes in our business practices and policies. The continued further development of privacy laws in different states could make our compliance obligations more complex and costly and may increase the likelihood that we may be subject to enforcement actions or otherwise incur liability for noncompliance that could adversely impact our financial condition. Additionally, we may be subject to laws governing the privacy of specific types of data, including, biometric information and, notably, consumer health data. For example, Washington’s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Connecticut and Nevada have also passed similar laws regulating consumer health data. These various data privacy and security laws may impact our business activities, including our identification of research subjects, relationships with business partners and ultimately the marketing and distribution of our products. Such laws could have potentially conflicting requirements that would make compliance challenging. In the event that we are subject to or affected by these U.S. state privacy and data protection laws, any liability from failure to comply with the requirements of these laws could adversely affect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For example, the European Union’s General Data Protection Regulation (“EU GDPR”) and the United Kingdom’s General Data Protection Regulation and Data Protection Act 2018 (collectively, the “UK GDPR” and together with the EU GDPR, the “GDPR”) impose strict requirements for processing personal data of individuals within the European Economic Area (“EEA”) and the United Kingdom (“UK”). These European regimes include strict requirements relating to processing of sensitive data (such as health data), ensuring there is a legal basis or condition to justify the processing of personal data, obtaining consent of individuals in certain circumstances, disclosing how personal data is to be used, limiting retention of information, implementing safeguards to protect the security and confidentiality of personal data, providing notification of data breaches, maintaining records of processing activities, documenting data protection impact assessments where there is high-risk processing and taking certain measures when engaging third-party processors.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GDPR, companies may face temporary or definitive bans on data processing and other corrective activities, fines of up to €20 million (£17.5 million GBP) or 4% of the annual global revenues of the noncompliant undertaking, whichever is greater, private litigation related to processing of personal data brought by classes of data subjects or consumer protection organizations authorized at law to represent their interests; or regulatory investigations, reputational damage, orders to cease/change our data processing activities, enforcement notices and/or assessment notices (for a compulsory audit). Non-compliance could also result in a material adverse effect on our business, financial position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be unable to transfer personal data from Europe and other jurisdictions to the United States or other countries or we may have to implement additional measures to enable such transfers due to data localization requirements or limitations on cross-border data flows. Among other requirements, the GDPR restricts the transfers of personal data subject to the GDPR to third countries that have not been found to provide adequate protection to such personal data, including the United States, unless a derogation exists or we implement a valid GDPR transfer mechanism (for example, the European Commission approved Standard Contractual Clauses and the UK International Data Transfer Agreement/Addendum and conduct transfer impact assessments to assess whether the recipient can ensure certain guarantees under the GDPR). However, the efficacy and longevity of current transfer mechanisms remains uncertain. We expect the existing legal complexity and uncertainty regarding international personal data transfers to continue and international transfers to the United States and to other jurisdictions more generally to continue to be subject to enhanced scrutiny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UK’s data protection regime is independent from but aligned to the EU’s data protection regime. However following the UK’s departure from the European Union (“Brexit”), there will be increasing scope for divergence in application, interpretation and enforcement of the data protection laws between these territories. For example, the UK Data (Use and Access) Act 2025 (the “UK Act”), now in force, further alters the similarities between the UK and EEA data protection regimes.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for transfers of personal data from the EEA to the UK, uncertainty remains regarding how UK data protection laws will evolve in the medium to longer term. This lack of clarity on future UK laws and regulations and their interaction with those of the EU could add legal risk, uncertainty, complexity, and cost to our handling of European personal data and our privacy and security compliance programs, and any resulting divergence in laws could increase our risk profile and may require us to implement different compliance measures for the UK and EEA.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European Commission has also proposed further reforms under the so-called “Digital Omnibus” package, which is intended to streamline and update aspects of the EU’s digital regulatory framework, including certain data protection obligations. While the scope and final form of these proposals remain subject to legislative negotiation, if adopted they may further modify or supplement existing GDPR-related requirements, including by further clarifying the scope of what constitutes “personal data” and the regulatory treatment of coded, key-coded or otherwise de-identified data. Any such changes could require us to reassess and adjust our European privacy compliance framework, resulting in additional legal, operational and compliance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in 2025,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generally prohibits data brokerage transactions involving certain sensitive personal data categories, including health data, genetic data, and biospecimens, to these countries of concern. The rule impacts certain business or management activities such as vendor engagements, licensing arrangements, partnership engagements, sale or sharing of data, employment of certain individuals and investor agreements. Violations of the rule could lead to significant civil and criminal fines and penalties. We may in the future engage in data transactions that could be subject to the rule. There is a risk that our interpretation of the rule’s applicability, scope and requirements could be incorrect, incomplete, or misapplied. The rule applies to certain data transactions even where data is anonymized, key-coded, pseudonymized, de-identified or encrypted, which may impact our ability to enter into certain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data privacy and security laws, we are also bound by other contractual obligations related to data privacy and security, and our efforts to comply with such obligations may not be successful. We may publish privacy policies and marketing materials, and other statements, such as compliance with certain certifications or self-regulatory principles, regarding data privacy and security. Regulators such as the U.S. Federal Trade Commission are increasingly scrutinizing these statements, and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at times fail (or be perceived to have failed) in our efforts to comply with our data privacy and security obligations. Moreover, despite our efforts, our personnel or third parties on whom we rely may fail (or be perceived to have failed)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potentially significant penalties if we are found to be in violation of our privacy obligations; adverse publicity; or substantial changes to our business model or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information technology systems and infrastructure, or those of our collaborators and service providers, or our data, may be subject to cyber-attacks, intrusions, breaches, compromises, disruptions or other cybersecurity incidents, which could result in additional costs, loss of revenue, significant liabilities, harm to our brand, material disruption of our development programs and operations,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upon which we rely, process sensitive data, and, as a result, we and the third parties upon which we rely face a variety of evolving threats that could cause cyber-attacks, intrusions, breaches, compromises, disruptions or other cybersecurity incidents. Although we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intrusion, breach, compromise, disruption or other cybersecurity incident such as an industrial espionage attack, ransomware, or insider threat attack such as wrongful conduct by employees or vendors, which may compromise our system infrastructure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a cyber-attack, intrusion, breach, compromise, disruption or other cybersecurity incident has generally increased as the number, intensity and sophistication of attempted attacks and intrusions from around the world have grown. Such risks come from a variety of evolving threats, including but not limited to, social engineering attacks (including through deep fakes, which may be increasingly more difficult to identify as fake, and phishing attacks), malicious code (such as viruses and worms), misconfigurations, “bugs” or other vulnerabilities in software that is integrated into our technology systems and infrastructure,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 Further, there can also be no assurance that our and our third-party service providers’, strategic partners’, contractors’, consultants’, CROs’ and collaborators’ cybersecurity risk management program and processes, including policies, controls or procedures, will be fully implemented, complied with or effective in protecting our systems, networks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Threat actors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services. Additionally,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face increased risks of a cyber-attack, intrusion, breach, compromise, disruption or other cybersecurity incident due to our reliance on internet technology and the number of our employees who work on a hybrid basis at home, in the office, or other public spaces. This may create additional opportunities for cybercriminals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providers experience a cyber-attack, security breach, compromise, disruption or other cybersecurity incident, we could experience adverse consequences. While we may be entitled to damages if our third-party service providers fail to satisfy their privacy or cybersecurity-related obligations to us, any award may be insufficient to cover our damages, or we may be unable to recover such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detect vulnerabilities in our information technology systems and infrastructure on a timely basis or until after a cyber-attack, intrusion, breach, compromise, disruption or other cybersecurity incident has occurred, and it may be difficult and/or costly to investigate, mitigate, contain, and remediate a cybersecurity incident. Further, we may experience delays in developing and deploying remedial measures designed to adequately address any such identified vulnerabilities. Our efforts to do so may not be successful. Actions taken by us or the third parties with whom we work to detect, investigate, mitigate, contain, and remediate a cybersecurity incident could result in outages, data losses, and disruptions of our business. Threat actors may also gain access to other networks and systems after a compromise of our networks and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experienced threats related to our data and systems, and we may in the future experience additional threats, compromises, breaches or other cybersecurity incidents. If we, or a third party upon whom we rely, experience a cyber-attack, intrusion, breach, compromise, disruption or other cybersecurity incident, or are perceived to have experienced one,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individual and group claims); significant incident response, system restoration or remediation costs; indemnification obligations; negative publicity; reputational harm; monetary fund diversions; interruptions in our operations (including availability of data); financial loss; and other potentially significant harms. Further, applicable data privacy and cybersecurity obligations may require us to notify individuals, regulators, or other relevant stakeholders of a cyber-attack, intrusion, breach, compromise, disruption, or other cybersecurity incident. Such disclosures are costly, and the disclosure or the failure to comply with such requirements could lead to adverse consequences. In addition, cyber-attacks, intrusions, breaches, compromises, disruptions or other cybersecurity incidents may cause stakeholders (including investors and potential customers) to stop supporting our business, deter new customers from using our products, and negatively impact our ability to grow and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cybersecurity obligations. Further, our existing general liability and cyber liability insurance policies may not cover, or may cover only a portion of, any potential claims related to cybersecurity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cybersecurity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third-party service providers, then our reputation, business, results of operations and financial condition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use of new and evolving technologies, such as AI and machine learning (“ML”), in our operations, and the operations of third parties upon which we rely, may result in spending additional resources and present new risks and challenges that can impact our business including by posing cybersecurity and other risks to our sensitive data, and as a result we may be exposed to reputational harm, other adverse consequences, and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and integrate AI/ML systems in our business, primarily in our Prolaio platform. The use of new and evolving technologies, such as AI/ML, in our operations, and the operations of third parties upon which we rely, presents new risks and challenges that could negatively impact our business, including cybersecurity, data privacy, IT, intellectual property, regulatory, legal, operational, competitive, reputational, and other risks and challenges.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increased investment will be required in the future to continuously improve our AI/ML systems. As with many technological innovations, there are significant risks involved in developing, maintaining and deploying these technologies and there can be no assurance that the usage of our investments in such technologies will always enhance our products or services or be beneficial to our business, including our efficiency or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use of certain AI/ML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AI/ML tools. For example, we may experience difficulties in enforcing the intellectual property rights in output generated by AI/ML technologies. The United States Copyright Office has previously denied copyright protection for content generated by AI/ML technologies, and the United States Patent and Trademark Office has similarly stated that an AI/ML tool cannot be an “inventor” of a patent, rendering it impossible to obtain patent protection for inventions created solely by AI/ML technologies. The Supreme Court of the United Kingdom has reached a similar conclusion, stating that AI/ML systems cannot be named as an “inventor” for UK patent law purposes. Additionally, several jurisdictions around the globe, including in Europe and the U.S., have proposed, enacted, or are considering, laws governing the development and use of AI/ML, such as the EU’s AI Act. As amended by the Digital Omnibus package, which received final Council approval in June 2026, the obligations applicable to providers and deployers of high-risk AI systems under the EU AI Act have been deferred and are now scheduled to apply from December 2, 2027. If we use AI/ML systems that are governed by the EU AI Act, it may necessitate ensuring higher standards of data quality, transparency, and human oversight, as well as adhering to specific and potentially burdensome and costly ethical, accountability, and administrative requirements. We expect other jurisdictions will adopt similar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 regulatory framework for AI/ML technologies faces significant uncertainty. At the federal level, Congress has yet to enact meaningful AI legislation. In the absence of federal AI legislation, states have filled the void by enacting laws regulating different aspects of AI/ML technologies. For example, California has enacted laws and regulations related to AI/ML safety protocols, reporting and transparency, among other AI-related topics. In addition, Colorado’s Automated Decision-Making Technology Act will impose various disclosure and transparency requirements on developers and deployers of various AI/ML systems. Numerous other states have enacted, passed, or are considering AI-focused legislation, creating a patchwork of regulations and a complex compliance challenge.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Any failure or perceived failure by us to comply with existing or newly enacted laws, regulations and other requirements relating to AI/ML technologies could result in legal claims or proceedings (including class actions), regulatory investigations or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Federal Trade Commission has required other companies to turn over (or disgorge) valuable insights or trainings generated through the use of AI/ML where they allege the company has violated certain privacy and consumer protection laws. If we cannot use AI/ML or that use is restricted, our business may be less efficient, or we may be at a competitive disadvantage.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rapid evolution of AI/ML will require the application of significant resources to design, develop, test and maintain our products and services to help ensure that AI/ML is implemented in accordance with applicable law and regulation and in a socially responsible manner and to minimize any real or perceived unintended harmful impacts. Our vendors may in turn incorporate AI/ML tools into their own offerings, and the providers of these AI/ML tools may not meet existing or rapidly evolving regulatory or industry standards, including with respect to data privacy and cybersecurity. Further, bad actors around the world use increasingly sophisticated methods, including the use of AI/ML, to expand potential attack surfaces and otherwise engage in illegal activities involving the theft and misuse of sensitive data. Any of these effects could damage our reputation, result in the loss of valuable property and information, cause us to breach applicable laws and regulations, and adversely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discovery and development of our current or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regulatory approval processes of the FDA, EMA, and other comparable regulatory authorities are lengthy, time-consuming and inherently unpredictable, and if we are ultimately unable to obtain regulatory approval for our product candidates, our business will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United States without obtaining regulatory approval from the FDA. Foreign regulatory authorities, such as the EMA and national competent authorities in EU Member States, impose similar requirements. The time required to obtain approval by the FDA, EMA,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European Union or Japan, may have different requirements for regulatory approval, which may require us to conduct additional clinical, nonclinical or chemistry, manufacturing and control studies. To date, we have not submitted an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obtain these approvals.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obtaining approval from regulatory authorities for the commercialization of any of our product candidates, we must conduct extensive clinical trials to demonstrate the safety and efficacy of the product candidate in humans. 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EMA,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well-tolerated when that is not in fact the case. Serious AEs or other AEs, as well as tolerability issues, could hinder or prevent market acceptance of the product candidate at issue.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regulatory authorities may disagree as to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EMA, or other comparable regulatory authorities that a product candidate is safe and effective for its proposed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EMA, or other comparable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regulatory authorities may disagree with our interpretation of data from clinical trials or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support the submission of an NDA to the FDA or other submission or to obtain regulatory approval in the United States, the European Union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other comparable regulatory authorities may find deficiencies with or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EMA, or other comparable regulatory authorities may significantly change in a manner rendering our clinical data insufficient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lengthy approval process as well as the unpredictability of clinical trial results may result in our failing to obtain regulatory approval to market any product candidate we develop, which would substantially harm our business, financial condition, results of operations and prospects. The FDA, EMA,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EMA, or other comparable regulatory authorities. Furthermore,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remain to be adopted into EU law, and are not expected to become applicable before 2028. The revisions may, however, have a significant impact on the pharmaceutical industry and our business in the long term.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EMA or comparable regulatory authorities may disagree with our regulatory plan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EMA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we may seek FDA regulatory flexibility and pursue marketing approval based on data from only one adequate and well-controlled clinical investigation. However, the FDA may not agree with our proposed development plans, and our clinical trial results may not support approval of our product candidates for our target indications. In addition, our product candidates could fail to receive regulatory approval, or regulatory approval could be delayed,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comparable regulatory authorities may not file or accept our NDA or marketing application for substantive review;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comparable regulatory authorities may disagree with the dosing regimen,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comparable regulatory authorities may determine there is not substantial evidence of effectiveness to support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EMA, or comparable regulatory authorities that our product candidates are safe and effective for any of their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clinical trials may not meet the level of statistical significance required by the FDA, EMA, or comparable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our product candidates’ clinical and other benefits outweigh their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comparable regulatory authorities may disagree with our interpretation of data from preclinical studies 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of our product candidates may not be sufficient to the satisfaction of the FDA, EMA, or comparable regulatory authorities to support the submission of an NDA or other comparable submission in foreign jurisdictions or to obtain regulatory approval in the United States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comparable regulatory authorities may find deficiencies with or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EMA, or comparable regulatory authorities may significantly change in a manner rendering our clinical data insufficient for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dependent on third parties having accurately generated, collected, interpreted and reported data from certain preclinical studies and clinical trials that were previously conducted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lead product candidates were initially developed by third parties. For example, Danicamtiv was initially developed by MyoKardia and further developed by BMS Co., Ataciguat was initially developed by Sanofi and Mayo and Tonlamarsen was developed by Ionis. We in-licensed each of these product candidates pursuant to license agreements with BMS Co., Sanofi and Mayo, and Ionis, respectively. We entered into these licenses on the basis of our interpretation of the medical and scientific meaningfulness of each product candidate’s initial data. Therefore, we are dependent on third-parties such as MyoKardia, BMS Co., Sanofi, Mayo and Ionis having designed certain preclinical studies and clinical trials and conducted their research and development in accordance with the applicable protocols, legal and regulatory requirements, and scientific standards; having accurately reported the results of all preclinical studies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 and the earlier-reported results may not support data that we generate in our own preclinical or clinical work with those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the Prolaio platform to enhance clinical trial design and execution is a novel approach that may not result in the anticipated efficiencies or regulatory acceptance, which exposes us to unforeseen risks and makes it difficult for us to predict the time and cost of product development.</w:t>
      </w:r>
    </w:p>
    <w:p>
      <w:pPr>
        <w:pStyle w:val="TextBody"/>
        <w:bidi w:val="0"/>
        <w:spacing w:before="120" w:after="283"/>
        <w:jc w:val="left"/>
        <w:rPr>
          <w:rFonts w:ascii="Times New Roman" w:hAnsi="Times New Roman"/>
          <w:sz w:val="20"/>
        </w:rPr>
      </w:pPr>
      <w:r>
        <w:rPr>
          <w:rFonts w:ascii="Times New Roman" w:hAnsi="Times New Roman"/>
          <w:color w:val="000000"/>
          <w:sz w:val="20"/>
        </w:rPr>
        <w:t>A key element of our strategy is utilizing our Prolaio platform, which leverages AI-enabled tools to optimize the development of our product candidates in clinical development, including by enhancing the design and execution of our clinical trials through improved patient identification and enrollment, and continuous real world data collection. While we believe the Prolaio platform has the potential to expand patient access and accelerate patient recruitment and trial execution for our own trials and when sold to third-parties for use in third-party clinical trials, the Prolaio platform is a novel approach to trial design and execution. As a result, we are exposed to a number of unforeseen risks related to our Prolaio platform, and these risks could impact each of our product candidates. For example, digital clinical endpoints collected through our Prolaio platform may not be accepted by the FDA as valid primary or secondary endpoints, which could require additional validation work, modification of trial design or the collection of additional clinical endpoint data, potentially delaying development timelines. The regulatory framework for digital health technologies and digitally-obtained endpoints continues to evolve. Because it is a novel approach, to date, we have not used Prolaio to support regulatory decision-making, and the use of Prolaio in our clinical trials to support regulatory decision-making for our therapeutic candidates has not yet been validated by the FDA. While our clinical studies of Danicamtiv and Ataciguat are exploring the use of Prolaio to capture eVO2peak (our novel estimate of pVO</w:t>
      </w:r>
      <w:r>
        <w:rPr>
          <w:rFonts w:ascii="Times New Roman" w:hAnsi="Times New Roman"/>
          <w:color w:val="000000"/>
          <w:sz w:val="13"/>
        </w:rPr>
        <w:t>2</w:t>
      </w:r>
      <w:r>
        <w:rPr>
          <w:rFonts w:ascii="Times New Roman" w:hAnsi="Times New Roman"/>
          <w:color w:val="000000"/>
          <w:sz w:val="20"/>
        </w:rPr>
        <w:t>, which is a clinically accepted measure of a patient’s functional capacity derived from Cardiopulmonary Exercise Testing (“CPET”), our primary endpoint evaluates pVO</w:t>
      </w:r>
      <w:r>
        <w:rPr>
          <w:rFonts w:ascii="Times New Roman" w:hAnsi="Times New Roman"/>
          <w:color w:val="000000"/>
          <w:sz w:val="13"/>
        </w:rPr>
        <w:t>2</w:t>
      </w:r>
      <w:r>
        <w:rPr>
          <w:rFonts w:ascii="Times New Roman" w:hAnsi="Times New Roman"/>
          <w:color w:val="000000"/>
          <w:sz w:val="20"/>
        </w:rPr>
        <w:t xml:space="preserve"> to support regulatory decision-making and we do not intend to seek approval on the basis of the eVO2peak measurements collected by Prolaio. In the future, we will need to validate Prolaio biomarkers with the FDA to be used as endpoints for a given disease. Even if validated by the FDA, we may not realize Prolaio’s potential to support smaller, faster, and more capital efficient clinical trials, and it may not meet our expectations in speeding the development of our programs and increasing the probability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our research and development efforts to date have resulted in a development portfolio of programs and product candidates, we may not be able to discover or identify additional candidates or clinical research that could appropriately utilize our Prolaio platform. Even if we are successful in continuing to build and expand our development portfolio, the potential product candidates that we identify may not be successful in clinical development. If we do not successfully deploy the Prolaio platform to develop and commercialize additional product candidates, we may not realize the anticipated benefits of developing and utilizing our Prolaio platform, which likely would result in significant harm to our financial position and adversely affect our stock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our Phase 2 trial of Danicamtiv for DCM may not translate to similar results in our ongoing KINSHIP-DCM Phase 2b/3 clinical trial. Furthermore, our product candidates may not be able to demonstrate similar activity or adverse event profiles as other product candidates that we believe may have similar profiles.</w:t>
      </w:r>
    </w:p>
    <w:p>
      <w:pPr>
        <w:pStyle w:val="TextBody"/>
        <w:bidi w:val="0"/>
        <w:spacing w:before="240" w:after="283"/>
        <w:jc w:val="left"/>
        <w:rPr>
          <w:rFonts w:ascii="Times New Roman" w:hAnsi="Times New Roman"/>
          <w:sz w:val="20"/>
        </w:rPr>
      </w:pPr>
      <w:r>
        <w:rPr>
          <w:rFonts w:ascii="Times New Roman" w:hAnsi="Times New Roman"/>
          <w:color w:val="000000"/>
          <w:sz w:val="20"/>
        </w:rPr>
        <w:t>In addition, in our ongoing and planned future clinical trials, we may utilize clinical trial designs or dosing regimens that have not been routinely tested in prior clinical trials similar to ours. For instance, in our KATALYST-AV trial for Ataciguat, we are exploring novel endpoints, including change in valve area calcium and peak VO</w:t>
      </w:r>
      <w:r>
        <w:rPr>
          <w:rFonts w:ascii="Times New Roman" w:hAnsi="Times New Roman"/>
          <w:color w:val="000000"/>
          <w:sz w:val="13"/>
        </w:rPr>
        <w:t>2</w:t>
      </w:r>
      <w:r>
        <w:rPr>
          <w:rFonts w:ascii="Times New Roman" w:hAnsi="Times New Roman"/>
          <w:color w:val="000000"/>
          <w:sz w:val="20"/>
        </w:rPr>
        <w:t>, in patients with aortic stenosis. In our KINSHIP-DCM study for Danicamtiv, we are deploying an adaptive trial design where the effects observed in the Phase 2b portion of the study may impact the statistical analysis and sample size of the Phase 3 portion of the study. In our KARDINAL-ASH study for Tonlamarsen, we plan to leverage Prolaio data collection during the post-discharge period to characterize blood pressure control, blood pressure excursions and cardiovascular parameters.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effects or AEs.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utilize an “open-label” clinical trial design for certain of our clinical trials. For example, our Phase 2 trial for Danicamtiv was an open-label clinical trial.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A common concern with open-label clinical trials is an increased susceptibility to bias, including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 Accordingly, data from our Phase 2 trial for Danicamtiv may not be predictive of data from our planned clinical trials for Danicamtiv.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intend to conduct certain clinical trials for our product candidates outside of the U.S. However, the FDA and comparable foreign regulatory authorities may not accept data from such trials, in which case our development plans will be delayed, which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conduct certain clinical trials for our product candidates outside of the U.S. Although the FDA may accept data from clinical trials conducted outside the U.S., acceptance of this data is subject to certain conditions imposed by the FDA or may not be accepted at all. Where data from foreign clinical trials are intended to serve as the basis for marketing approval in the U.S., the FDA will not approve the application on the basis of foreign data alone unless those data are applicable to the U.S. population and U.S. medical practice; the studies were performed by clinical investigators of recognized competence and pursuant to GCP regulations; and the data are considered valid without the need for an on-site inspection by the FDA or, if the FDA considers such an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studies that are conducted only at sites outside of the U.S. and not subject to an IND, the FDA generally does not provide advance comment on the clinical protocols for the studies, and therefore there is an additional potential risk that the FDA could determine that the study design or protocol for a non-U.S. clinical trial was inadequate, which could require us to conduct additional clinical trials. Conducting clinical trials outside the U.S. also exposes us to additional risks, including risks associated 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foreign manufacturing, customs, shipment and storage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cultural differences in medical practice and clinical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clinical trials conducted in one country may not be accepted by regulatory authorities in other countries, and regulatory approval in one country does not guarantee regulatory approval in any other country. We currently have clinical trial sites for Danicamtiv, Ataciguat, and Tonlamarsen outside the United States and may in the future conduct further clinical trials with one or more trial sites that are located outside the United States. Although the FDA may accept data from clinical trials conducted outside the United States, acceptance of this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incur unexpected costs or experience delays in completing, or ultimately be unable to complete, the development and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obtain the requisite regulatory approvals to commercialize any of our product candidates, we must demonstrate through extensive preclinical studies and clinical trials that our product candidates are safe and effective in humans. 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institutional review boards (“IRBs”) or other reviewing bodies may not authorize us or our investigators to commence a clinical trial, or to conduct or continue a clinical trial at a prospective or specific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challenges or delays in recruiting principal investigators or study sites to lead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including those manufacturing our product candidates or conducting clinical trials on our behalf,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approval policies or regulations of the FDA, EMA, or other comparable regulatory authorities to significantly change in a manner rendering our clinical data insufficient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must be conducted in accordance with the FDA, EMA, and other applicable regulatory authorities’ legal requirements, regulations and guidelines, and remain subject to oversight by these governmental agencies and ethics committees or IRBs at the medical institutions where such clinical trials are conducted. 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EMA,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know whether any clinical trials that we conduct will 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conducting clinical trials in foreign countries, as we may do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Additionally, recent policy proposals in the U.S., if enacted in the future, may make acceptance by the FDA or inclusion in a marketing application of foreign data more difficult or costly.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In addition, many of the factors that cause, or lead to, the termination, suspension of, or a delay in the commencement or completion of, clinical trials may also ultimately lead to the denial of regulatory approval of a product candidate.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financial condition and results of operations. In addition, many of the factors that cause, or lead to, delays of clinical trials may ultimately lead to the denial of regulatory approval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may be associated with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trials could reveal a high and unacceptable severity and prevalence of side effects or unexpected characteristics. Undesirable side effects caused by any of our product candidates could cause us or regulatory authorities to interrupt, delay or halt clinical trials and, if such product candidates are approved, could result in a more restrictive label, the inclusion of a risk evaluation and mitigation strategy (“REMS”), or the delay or denial of regulatory approval by the FDA, EMA, or other comparable regulatory authorities. Any treatment-related side effects could also affect patient recruitment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enrolled patients to complete the trial, or could result in potential product liability claims. Any of these occurrences may harm our business, financial condition, and prospects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observe safety or tolerability issues beyond those we anticipate with our current or future product candidates in ongoing or future clinical trials. Additionally, it is possible that human subjects with cardiovascular diseases may experience greater side effects in our clinical programs than observed in healthy volunteers. We continue to learn more about our product candidates, and unfavorable pharmacology profiles, including extended half-lives, could lead to adverse outcomes or concerns by the FDA, EMA, or other comparable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any time, we may decide to terminate or greatly narrow the target population for a clinical development program due to unacceptable side effects or safety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we, the FDA, EMA,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EMA,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materially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suspend marketing of a product, or we may decide to remove such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or change their approvals of a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a product for patients, or to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a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 or be sued and held liable for harm caused to subjects or patients;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may become less competitive, and 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have been associated with treatment-related serious adverse events in clinical trials, and such events may delay or prevent regulatory approval, cause us to suspend or discontinue clinical trials, or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completed any pivotal clinical trials with our product candidates. While the data reported to date from the ongoing clinical evaluation of our product candidates indicate that they have been generally well tolerated, there remains a risk of treatment-related serious adverse events (“TRSAEs”) for all of our product candidates. As of August 6, 2026, TRSAEs have been observed in clinical trials conducted with our product candidates, as described below. It is possible that additional or increased occurrences or severity of TRSAEs and serious adverse events will occur in human subjects during ongoing and planned clinical trials, and the severity and rate of these events may not be acceptable in patients with cardiovascular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Danicamtiv. In clinical trials conducted with Danicamtiv, two participants had a total of three TRSAEs as assessed by the investigator. One participant had complete atrioventricular (“AV”) block (mild, recovered) and one participant had two TRSAEs: liver injury (severe, resolved) and acute kidney injury (moderate, recovered). After a careful review of these two SAEs, other confounding factors, such as comorbidities, drug allergy, nitrofurantoin use, and hypotension, were identified as possible causes of liver injury and acute kidney injury. Based on this review, the Sponsor at the time (BMS Co.) considered these two SAEs to be not related to Danicamtiv.</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Ataciguat. In clinical trials conducted with Ataciguat, nine TRSAEs have been reported, each occurring in one participant except for two hepatic events occurring in two participants (increased hepatic enzymes, drug-induced liver injury). Eight TRSAEs were recovered and/or resolving, with one TRSAE (hematuria) whose outcome was unknown. Three TRSAEs were categorized severe and included one report each of atrial fibrillation, increased serum creatine phosphokinase, and cerebrovascular disorder. Two TRSAEs were categorized as moderate severity, and included one report each of drug-induced liver injury and hypersensitivity. A single TRSAE was categorized as mild, which was reported as chronic kidney disease. The three remaining TRSAEs (dizziness, hematuria, and increased hepatic enzymes) were of unknown severity.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Tonlamarsen. In clinical trials conducted with Tonlamarsen, three SAEs were reported as related to the study medication by the investigator, each occurring in one participant. The reported TRSAEs were increased blood glucose, which was categorized as serious, loss of consciousness, which was categorized as moderate severity, and one TRSAE of fatal renal failure. Both the increased blood glucose TRSAE and loss of consciousness were recovered and resolved. The SAE of fatal renal failure occurred many weeks after the end of study visit. After careful review the sponsor considered this SAE to be unrelated to Tonlamarsen due to the prolonged time lapse from last dose of study medication and onset of symptoms.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caused by any of our product candidates could cause us, the data safety monitoring boards for such trials, IRBs or ethics committees of the institutions in which such trials are being conducted, or regulatory authorities to interrupt, delay, suspend, halt or place on clinical hold the associated clinical trials and could result in a more restrictive label, the imposition of distribution or use restrictions, requirements to conduct additional studies, dose de-escalation, or additional protocol amendments, or the delay or denial of regulatory approval by the FDA, EMA, or other comparable regulatory authorities. Treatment-related side effects could also affect site initiation, patient recruitment or the ability of enrolled patients to complete the trial or result in potential product liability claims. Even if serious adverse events are unrelated to study treatment, such occurrences could affect patient enrollment or the ability of enrolled patients to complete the clinical trial. Results of our clinical trials could reveal a high and unacceptable severity and prevalence of side effects or unexpected characteristics, and we may not be able to complete a clinical trial for any of our product candidates on the timeline we expect,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clinical trials by their nature utilize a sample of the potential patient population. With a limited number of patients and limited duration of exposure, rare and severe side effects of our product candidates may only be uncovered when a significantly larger number of patients have been exposed to the drug candidate, including post-approval, and there can be no assurance that our product candidates will not cause more severe and/or serious side effects in a greater proportion of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unexpected adverse events occur in any of our clinical trials, we may need to abandon development of our product candidates, or limit development to lower doses or to certain uses or subpopulations in which the undesirable side effects or other unfavorable characteristics are less prevalent, less severe or more acceptable from a risk-benefit perspective. In addition, these side effects may not be appropriately recognized or managed by the treating medical staff, and we may need to train medical personnel using our product candidates to understand the side effect profiles for our clinical trials and, upon any commercialization of our product candidates, if approved. Inadequate training in recognizing or managing the potential side effects of our product candidates could result in patient injury or death. Any such findings could cause delays in completion or cancellation of our clinical programs, and may harm our business, financial condition, results of operations, and prospects significantly.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complete the necessary preclinical studies and clinical trials, the marketing approval process is expensive, time-consuming and uncertain and may prevent us from obtaining approvals for the commercialization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the EMA and other comparable regulatory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team expects to rely on third-party CROs or regulatory consultants to assist us in submitting and supporting the applications necessary to gain marketing approvals.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EMA,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experience delays in obtaining approval or if we fail to obtain approval of any product candidates we may develop, the commercial prospects for those product candidates may be harmed, and our ability to generate revenues will be materially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and preclinical studies. Such announcements or publications are typically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topline or preliminary data we previously published. As a result, topline and preliminary data should be viewed with caution until the final data are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reputation and business prospects. Further, disclosure of such data by us or by our competitors could result in volatility in the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achieve our projected development and commercialization goals in the timeframes we announce and expect, the development and commercialization of our product candidates may be delayed, and our business, financial condition and results of operations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enroll patients who meet clinical trial eligibility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receipt of approvals by the FDA, EMA, and other comparable regulatory authorities, if at all,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access sufficient, reliable and affordable supplies of materials used to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efforts of our collaborators with respect to the commercialization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securing of, costs related to, and timing issues associated with, product manufacturing as well as sales and marketing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achieve announced milestones in the timeframes we expect, the development and commercialization of our product candidates may be delayed, and our business, financial condition and results of operations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concentrated our research and development efforts on the treatment of cardiovascular diseases, a field that faces certain challenges in drug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focused our research and development efforts on addressing cardiovascular diseases. Developing a product candidate for treatment of the cardiovascular diseases we currently target is extremely difficult and subjects us to a number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unique challenges, including obtaining regulatory approval from the FDA and other regulatory authorities who have only a limited set of precedents to rely on. Efforts by pharmaceutical companies in this field have faced certain challenges in drug development. In particular, cardiovascular disease conditions present similarly but stem from diverse disease biology and genetic variability. In addition, traditional clinical trials in cardiovascular diseases have resulted in large, expensive trials. Further, background medications commonly prescribed for aortic stenosis patients, such as beta blockers, may impact pulmonary function measurements and can impact our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given the history of clinical failures in this field, future clinical or regulatory failures by us or others may have resulted in further negative perception of the likelihood of success in this field, which may significantly and adversely affect the market price of our common stock. We intend to work closely with the FDA, EMA and comparable foreign regulatory authorities to perform the requisite scientific analyses and evaluation in an effort to obtain regulatory approval for our product candidates; however, the process of developing our product candidates may be more complex and time-consuming relative to other more well-known approaches to drug development. We cannot be certain that our approach will lead to the development of product candidates that effectively and safely address our target indications.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additional risks because we may in the future evaluate our product candidates in combination with the standard of care for the indications that we are pursuing.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evaluate our product candidates in combination with other compounds, specifically the standard of care for the indications that we are pursuing. The use of our product candidates in combination with such other compounds may subject us to risks that we would not face if our product candidates were being administered as a monotherapy. The outcome and cost of developing a product candidate to be used with other compounds is difficult to predict and dependent on a number of factors that are outside our control. If we experience efficacy or safety issues in our clinical trials in which our product candidates are being administered with other compounds, we may not receive regulatory approval for our product candidates, which could prevent us from ever generating revenue or achieving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combination of our product candidates and the standard of care may result in unexpected adverse side effects or toxicities. In addition, the product candidates may interact with other companies’ products or product candidates that the patients receiving our product candidates may also be receiving, in undesirable ways. Testing product candidates in patients already receiving other treatments may increase the risk of significant adverse effects or failed clinical trials. The timing, outcome and cost of the potential adverse effects of developing products to be used in patients already receiving other therapies is difficult to predict and dependent on a number of factors that are outside our reasonable control. If serious adverse or unexpected side effects are identified during development and are determined to be attributed to our product candidates, or the result of drug-drug interactions between our product candidate and any of the concomitant therapies given to the trial subjects, we, the FDA, EMA, comparable foreign regulatory authorities, or IRBs and other reviewing entities could interrupt, delay, or halt clinical trials. Such findings could also result in delays in, or denial of, regulatory approval by the FDA, the EMA, or comparable foreign regulatory authorities. Further, even if our product candidates are approved, these findings could result in a more restrictive label or particularly narrow indication (substantially limiting the product’s commercial opportunities) or a REMS.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any safety, efficacy, regulatory, manufacturing or supply issues that could arise with respect to an already approved therapy with which our product candidates are developed for use could have an adverse impact on us. Prescribing information for the approved therapy, such as risk information like a boxed warning, or limitations of use, could negatively impact our ability to commercialize a product as an add-on or as further supportive care to the approved therapy. If the approved therapy is replaced as the standard of care, the FDA, EMA or comparable foreign regulatory authorities may require us to conduct additional clinical trials, or we may not be able to obtain adequate reimbursement from third-party payors. The occurrence of any of these events could result in our product candidate, if successfully developed and approved, being removed from the market or being less successful commercially. If the FDA, EMA or comparable foreign regulatory authorities revoke their approval of, or if safety, efficacy, manufacturing, or supply issues arise with respect to, therapies we choose to evaluate in conjunction with or as background or standard of care therapy for any of our product candidates, we may be unable to obtain regulatory approval of or to commercialize such product candidates in combination with these therapies. If we experience safety, tolerability or toxicity issues in any of our ongoing or planned clinical trials that allow patients to remain on other therapies, or if the efficacy or safety data from these trials of our candidates administered to patients on other therapies are not favorable, our clinical development plans could be materially negatively affected or delayed, or we may not receive regulatory approval for our product candidates, which would materially harm our business and likely cause the market price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 demonstrates clinical benefit as part of a combination regimen, payors may determine that the incremental value is insufficient to justify the overall cost and may refuse to reimburse at levels that are acceptable to us or that support commercial viability. In addition, we do not control the pricing, contracting strategy or reimbursement profile of any product for which we are developing our product candidates in companion, which may change over time and adversely impact the attractiveness or economics of the combination. If coverage for the companion therapy is reduced, withdrawn, or made more restrictive, the value proposition for our product candidate could be materially weakened.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affected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patient eligibility criteria defined in the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patient population required for analysis of the trial’s primary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patients to study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that enroll in our clinical trials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new indications for existing therapies or approval of new therapies in general;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patient consents;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patients enrolled in our clinical trials will drop out of the trials before completion.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challenges in recruiting principal investigators and patients to participate in ongoing and future clinical trials for such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Our trials also include procedures, such as pulmonary function tests via CPET, that may be burdensome for patients and could hinder enrollment. In addition, we are pursuing novel or smaller indications, including ASH and genetic DCM, which may further affect our ability to enroll patients in our clinical studies.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Withdrawal of patients from our clinical trials may compromise the quality of our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number of patients with certain cardiovascular diseases for which we are developing our product candidates has not been established with precision. If the actual number of patients with the diseases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pipeline includes product candidates for a number of cardiovascular diseases. There is no precise method of establishing the actual number of patients with any of these diseases in any geography over any time period. With respect to many of the indications in which we have developed, are developing, or plan to develop our product candidates, we have estimates of the prevalence of the disease.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cardiovascular disease,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our product candidates, if approved, may be indicated for or used by only a subset. In the event the number of patients with the cardiovascular diseases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The commercial success of any of our product candidates will depend significantly on the broad adoption and use of the resulting product by these individuals and organizations for approved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are successful in registrational clinical trials, they may not be successful in achieving market acceptance by physicians, patients, or third-party payors for addition to current standards of care if we are unable to demonstrate superior efficacy, safety, ease of administration and/or cost-effectiveness when prescribing our product candidates in addition to current standard of care treatments as add-on therapies. For example, physicians may be reluctant to add to their patients’ current medications and adjust their treatment regimen for a variety of reasons. Further, patients often acclimate to the treatment regimen that they are currently taking and do not want to add-on additional treatments unless their physicians recommend doing so or are required to do so due to inadequate coverage or reimbursement by third-party payors. Even if we are able to demonstrate our product candidates’ safety and efficacy to the FDA and other regulators, we may be unable to demonstrate to physicians, patients, or third-party payors the benefits of adding-on our product candidates or safety or efficacy concerns regarding our product candidates in the medical community may hinder market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our product candidates as add-on therapies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the product, including as compared to any more-established products or other alternative products that may later be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advantages of the product compared to standard of care alone or competitive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indications for which the product is approved,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product is designated under physician treatment guidelines as a first-, second- or third-line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the ability of any future collaborators, to offer the product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and of physicians to prescribe,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all, or a portion of, out-of-pocket costs associated with the product in the absence of sufficient third-party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acceptance into standard of care treatment algorithms by medical societies as add-on treatments that could limit payor and physician uptake;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including distribution or use restrictions contained in the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sales,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adequacy of coverage and reimbursement from government payors, managed care plans and other third-party payors, including any price concessions required by third-party payors to obtain coverage;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publicity relating to the product, or favorable publicity about competitive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by one or more of our product candidates that obtains regulatory approval to achieve market acceptance or commercial success would adversely affect our business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discover, develop and commercialize additional product candidates, we may be unable to grow our business and our ability to achieve our strategic objectives would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development and commercialization of our current product candidates are our initial focus, as part of our longer-term growth strategy, we plan to develop other product candidates. In addition to the product candidates in our clinical-stage pipeline, we have additional assets that are in earlier stages of development, such as KAR-141, which is licensed from BMS Co.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preclinical studies, clinical trials and approval by the FDA, EMA,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be certain that any such products that are approved will be manufactured or produced economically, successfully commercialized or widely accepted in the marketplace or be more effective than other commercially available alternatives.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addition, we intend to devote substantial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research methodology used may not be successful in identifying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develop alternatives that render our product candidates obsolete;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that we develop may nevertheless be covered by third parties’ patents or other exclusive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on further study, be shown to have harmful side effects or other characteristics that indicate it is unlikely to be effective or otherwise does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not be accepted as safe and effective by patients, the medical community or third-party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future acquisitions may entail numerous operational and financial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exposure to unknown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of our business and diversion of management’s time and attention to develop acquired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incurrence of substantial debt, dilutive issuances of securities or depletion of cash to pay for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than expected acquisition and integration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combining the operations and personnel of any acquired businesses with our operations and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amortization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relationships with key suppliers or customers of any acquired businesses due to changes in management and ownership;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motivate key employees of any acquired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unsuccessful in identifying and developing additional product candidates, either through internal development or licensing or acquisition from third parties, our potential for growth and achieving our strategic objectives may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and commercial landscapes for the treatment of cardiovascular diseases are highly competitive and subject to rapid and significant scientific and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that a significant number of product candidates are currently under development for the same indications that we are currently pursuing and may pursue, and some or all may become commercially available in the future for the treatment of conditions for which we are trying or may try to develop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competitors may succeed in developing, acquiring or licensing technologies and drug products that are more effective or less costly than our product candidates, which could render our product candidates obsolete and noncompetitive.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develop our sales, marketing and distribution capability on our own or through collaborations with marketing partners, we will not be successful in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sales or distribution capabilities for our product candidates.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inhibit our efforts to commercialize our product candidates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and retain adequate numbers of effective sales and marketing personnel, at an acceptable cost,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or our failure to educate an adequate number of physicians on the benefits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we will be able to develop in-house sales and distribution capabilities or establish or maintain relationships with third-party collaborators to commercialize any product in the United States or overseas. If we do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establish sales and marketing capabilities successfully, either on our own or in collaboration with third parties, we will not be successful in commercializing our product candidates.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employee matters and managing growth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expect to expand our organization, and as a result,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experience significant growth in the number of our employees and the scope of our operations, particularly in the areas of regulatory affairs and sales, marketing and distribution, as well as to continue to support our public company operations. To manage these growth activities, we must continue to implement and improve our managerial, operational, quality and financial systems, expand our facilities and continue to recruit and train additional qualified personnel. As we grow, including through the potential establishment of operations in additional geographic locations, we may face increased complexity in our organizational structure and greater challenges in maintaining effective oversight, communication and alignment across functions and locations.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develop product candidates and leverage our Prolaio platform and our future growth depends on attracting, hiring and retaining our key personnel and recruiting additional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cardiovascular diseases and our approach, there is an inherent scarcity of experienced personnel in these fields. As we continue developing our product candidates in our pipeline and advance our Prolaio platform, we will require personnel with medical, scientific, or technical qualifications specific to each program. The loss of key personnel, in particular our Chief Executive Officer, Co-Founder and Chair of the Board, Chief Medical Officer, clinical development personnel and key employees at Prolaio, would delay our research and development activities. We currently do not have “key person” insurance on any of our employees. Despite our efforts to retain valuable employees, members of our team may terminate their employment with us on short notice. The competition for qualified personnel in the biotechnology, biopharmaceutical and digital health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clinical operations and research and development programs depend on our ability to attract and retain highly skilled scientists, data scientists, and engineers, particularly in New Jersey, California, and Illinois. 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The need to attract and retain talent across both traditional biopharmaceutical functions and digital health and technology functions increases the complexity of our recruiting and retention efforts. If we fail to attract new personnel or fail to retain and motivate our current personnel, our business and future growth prospects would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relied upon and plan to continue to rely on third parties, such as CROs, clinical data management organizations, medical institutions, clinical investigators and vendors to conduct our clinical trials and expect to rely on these third parties to conduct clinical trials of any other product candidates that we develop. Our ability to complete clinical trials in a timely fashion depends on a number of key factors. These factors include contract negotiation, protocol design, regulatory and IRB approval, site activation, budget negotiation,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If we are unable to successfully contract with or have to terminate and establish alternative service provider or site contractual relationships with any parties involved in or supporting our product candidate development activities, our clinical development could experience delays or be otherwise adversely impacted.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vendors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Additionally, at clinical trial sites, the availability of staff and trial participants has been limited.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on other third parties to store and distribute drug supplies for our clinical trials. Any logistical issues associated with the storage and distribution of our product candidates and other materials, such as errors or improper handling by distributors, transportation restrictions, or interruptions caused by natural disasters or force majeure events could delay clinical development or regulatory approval of our product candidates or commercialization of any resulting products, producing additional losses and depriving us of potential product revenue. Certain of our product candidates may be sensitive to temperature, storage and handling conditions and the shipping, storage, handling and administration of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candidates may need to be performed according to specific instructions and in some steps within specific time periods. Failure to correctly handle our product candidates could negatively impact the efficacy and/or safety of our product candidates, or cause a loss of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third parties to manufacture our product candidates, including those located outside of the United States in jurisdictions such as Europe, Canada and China, may increase the risk that we will not have sufficient quantities of our product candidates, raw materials, active pharmaceutical ingredients (“APIs”) or drug products when needed or at an acceptable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 such as Germany, Switzerland, Canada and China.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rely on and engage third-party manufacturers to provide all of the API and the final drug product formulation of all of our product candidates that are being used in our clinical trials and preclinical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third-party manufacturers we rely on have only recently begun working with us and have limited or no experience manufacturing our API and final drug products. These third-party manufacturers are subject to cGMP compliance requirements of the FDA, EMA, and other comparable regulatory authorities where our product candidates may be shipped. If our manufacturers have difficulty or suffer delays in successfully manufacturing material that meets our specifications, it may limit supply of our product candidates, delay our initiation of clinical trial activities in jurisdictions where the requirements to supply clinical product have not been satisfactorily demonstrated, and could delay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are able to establish and maintain arrangements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third-party manufacturer to comply with applicable regulatory requirements and reliance on third parties for manufacturing process development,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delays if our third-party manufacturers give greater priority to the supply of other products over our product candidates or otherwise do not satisfactorily perform according to the terms of the agreement between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supply availability resulting from capacity and scheduling constraints of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the third-party manufacturer to produce materials with acceptable quality on a larger scale;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manufacturing agreements by third parties because of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manufacturing agreements by the third party, at a time that is costly or inconvenient to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maintain our key manufacturing relationships, we may fail to find replacement manufacturers or fail to find them on favorable contractual terms, or fail to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EMA, and other comparable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EMA,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manufacturers are located outside of the United States, including in China. There is currently significant uncertainty about the future relationship between the United States and various other countries, including China,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Given the unpredictable regulatory environment in China and the United States and uncertainty regarding how the U.S. or foreign governments will act with respect to tariffs, international trade agreements and policies, further governmental action related to tariffs, litigation of tariffs in U.S. federal courts, additional taxes, contracting matters, regulatory changes or other retaliatory trade measures in the future could occur with a corresponding detrimental impact on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We do not control the manufacturing process of, and are completely dependent on, our contract manufacturing partners for compliance with cGMPs. If our contract manufacturers cannot successfully manufacture material that conforms to our specifications and the strict regulatory requirements of the FDA, EMA, or other comparable regulatory authorities,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EMA and comparable foreign regulatory requirements could adversely affect our clinical research activities and our ability to develop our product candidates and market our products,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EMA, or other comparable regulatory authorities require manufacturers to register manufacturing facilities, and also inspect these facilities to confirm compliance with cGMPs.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EMA, and other comparable regulatory requirements could adversely affect our clinical research activities and our ability to develop our product candidates and market our products following approval, if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plan to opportunistically pursue strategic partnerships, as the advancement of our product candidates and development programs and the potential commercialization of our current and future product candidates will require substantial additional cash to fund expenses. If we believe that partnerships can accelerate the development or maximize the market potential of our product candidates, we will consider entering into product, target and/or geographic specific strategic partnerships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EMA,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enter into collaborations with third parties for the development and commercialization of our product candidates, our prospects with respect to those product candidates will depend in significant part on the success of those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involving our product candidates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and similar foreign notifications and approvals.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EMA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Approval processes vary among countries and can involve additional product testing and validation, as well as additional administrative review periods. Seeking foreign regulatory approval could result in difficulties and increased costs for us and require additional preclinical studies or clinical trials which could be costly and time consuming.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 candidates are approved, they will be subject to ongoing regulatory requirements for manufacturing, labeling, packaging, storage, distribution, AE reporting, advertising, promotion, sampling, import, export,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(and comparable) requirements for any clinical trials that we conduct post-approval.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Manufacturers and manufacturers’ facilities are required to comply with extensive FDA, EMA and other comparable regulatory authority requirements, including ensuring that quality control and manufacturing procedures conform to cGMP regulations and applicable product tracking and tracing requirements.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EMA or other comparable regulatory authority approves our product candidates, we will have to comply with requirements including submissions of safety and other post-marketing information and reports and registration.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our products, withdrawal of the product from the market or voluntary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 or 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restitutions, disgorgement of profits or revenues, warning letters,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submitted by us or suspension or withdrawal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sponsors of approved drugs and biologics must provide notice to the FDA of any changes in marketing status, such as the withdrawal of a drug. Manufacturers are also required to notify FDA for discontinuing or interrupting supply of certain drugs, and failure to do so could result in a letter citing such failure to comply and public posting of such letter and redacted company response which could damage the company’s reputation. The FDA strictly regulates marketing, labeling, advertising and promotion of products that are placed on the market. Products may be promoted only for the approved indications and in accordance with the provisions of the approved label. The policies of the FDA, EMA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 not able to maintain regulatory compliance, we may lose any marketing approval that we may have obtained and we may not achieve or sustain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any products will be narrowly limited to those indications that are specifically approved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any product candidates, if approved, we could become subject to significant liability, which would materially adversely affect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pursue orphan drug designation for certain of our product candidates, and we may not be able to obtain such designation, or obtain or maintain the benefits of such designation including orphan drug exclusivity, and even if we do, that exclusivity may not prevent regulatory authorities from approving other competing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orphan drug designation for some of our other product candidates; however, we may never receive such designations. Under the Orphan Drug Act, the FDA may designate a product as an orphan drug if it is a drug or biologic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Orphan drug designation must be requested before submitting an NDA. A similar regulatory scheme governs orphan products in the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In addition, if a product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product for the same therapeutic indication for seven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obtain orphan drug exclusivity for a product, that exclusivity may not effectively protect the product from competition because different products can be approved for the same condition and indication. In addition, even after an orphan drug is approved, the FDA can subsequently approve the same product for the same approved use or indication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relating to the relevant approved use or indication of the patients with the rare disease or condition. Further, even if we obtain orphan drug designation, we may not be the first to obtain marketing approval for any particular orphan indication due to the uncertainties associated with developing pharmaceutical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orphan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 However, during such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While we may in the future seek designations for our product candidates with the FDA, EMA and other comparable regulatory authorities that are intended to confer benefits such as a faster development process, a streamlined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NDA is submitted, the application may be eligible for priority review. A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broad discretion whether or not to grant this designation, so even if we believe a particular product candidate is eligible for this designation, we cannot be certain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also receive the same benefits associated with Fast Track Designation, including eligibility for rolling review of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submitted NDA, if the relevant criteria are met. Drugs designated as breakthrough therapies by the FDA are also eligible for accelerated approval and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Where appropriate, we may secure approval from the FDA, EMA or other comparable regulatory authorities through the use of expedited approval pathways, such as accelerated approval.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EMA, or other comparable regulatory authorities, if our confirmatory trials do not verify clinical benefit, or if we do not comply with rigorous post-marketing requirements, the FDA, EMA, or such other regulatory authorities may seek to withdraw the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possible, we plan to pursue accelerated development strategies in areas of high unmet need. We may seek an accelerated approval pathway for our one or more of our therapeutic candidates from the FDA, EMA,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(the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seeking accelerated approval, we would seek feedback from the FDA, EMA, or other comparable regulatory authorities and would otherwise evaluate our ability to seek and receive such accelerated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EMA, or other comparable regulatory authorities, we will continue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required by the FDA to obtain approval of a companion diagnostic in connection with approval of any of our product candidates, and we do not obtain, or face delays in obtaining, FDA approval of such companion diagnostic, we will not be able to commercialize such product candidate and our ability to generate revenue will be materially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Depending on the data from our clinical trials, we may decide to collaborate with diagnostic companies during our clinical trial enrollment process to help identify patients with characteristics that we believe will be most likely to respond to our product candidates. If a satisfactory companion diagnostic is not commercially available in this situation, we may be required to develop or obtain such test, which would be subject to regulatory approval requirements. The process of obtaining or creating such diagnostic is time consuming and costly.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Companion diagnostics are developed in conjunction with clinical programs for the associated product and are subject to regulation as medical devices by the FDA and comparable foreign regulatory authorities.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or a comparable foreign regulatory authority requires approval or clearance of a companion diagnostic for any of our product candidates, whether before or after the product candidate obtains regulatory approval, we and/or third-party collaborators may encounter difficulties in developing and obtaining approval or clearance for these companion diagnostics. Any delay or failure by us or third-party collaborators to develop or obtain regulatory approval or clearance of a companion diagnostic could delay or prevent approval or continued marketing of the relevant product. We or our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maintain necessary regulatory clearance for our Prolaio platform, which includes features that are regulated by the FDA and which may be regulated in foreign jurisdictions as medical devices, or if clearances or approvals for future devices and indications are delayed or not issued, our commercial operations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Prolaio platform currently includes features that are regulated by the FDA and which may be regulated in foreign jurisdictions as medical devices. Changes to our Prolaio platform could be subject to extensive medical device regulation by the FDA in the United States and outside the United States. Government regulations specific to medical devices are wide-ranging and govern,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device design, development and manufacture;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preclinical and clinical testing, labeling, packaging, and storage;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premarket clearance 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record keeping;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device marketing, promotion and advertising, sales and distribution;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post-marketing surveillance, including reporting of deaths and serious injuries and recalls and correction and removals.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to obtain further 510(k) clearances or any required foreign marketing authorizations may add significant time and expense to our regulatory clearance and marketing process, may delay our ability to generate revenue, and may have a negative impact on our stock price. We may not be able to obtain or maintain the necessary clearances, approvals, or authorizations necessary to market the Prolaio platform for specific indications inside or outside the United States or such approvals, clearances, or authorizations may be unduly delayed, which could harm our business. Additionally, if the FDA rejects our 510(k) submissions for specific indications, we may be required to obtain FDA authorization through the de novo pathway, which will require additional time and resources, including potentially the need to conduct additional clinical trials to demonstrate safety and effectiveness of our candidate device.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FDA may not approve or clear our 510(k), de novo request, or premarket approval (“ PMA”) applications and foreign regulatory authorities may not authorize our applications on a timely basis or at all. Such delays or refusals could have a material adverse effect on our business operations and financial condition. The FDA or foreign regulatory authorities may also change authorization,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features of our Prolaio platform that are solely intended to transfer, store, convert formats, or display medical device data or results are listed with the FDA as a Class I, 510(k)-exempt, medical device data system. From time to time, the FDA may disagree with the classification regulation under which a registrant lists their device. For example, the FDA may disagree with a registrant’s determination to classify their device as a Class I medical device. Instead, the FDA may determine the device to be a Class II or Class III device requiring the submission of a 510(k) or PMA application for premarket clearance or approval. In the event that the FDA determines that our devices, whether by functionality or marketing claims, exceeds the limitations on 510(k)-exemption such that premarket clearance or approval is required (i.e., that our device is intended for a use different from the intended use of a legally marketed device in the generic type of device under the applicable classification regulation or that our modified device operates using a different fundamental scientific technology than such a legally marketed device), should be classified as Class II devices or Class III devices requiring premarket clearance or approval, or should the FDA decide to reclassify our device as a Class II or Class III device requiring premarket clearance or approval, we could be precluded from marketing our devices for clinical use within the United States for months or longer depending on the requirements of the classification. Obtaining premarket clearance or approval could significantly increase our regulatory costs, including expense associated with potentially required preclinical studies and clinical trials, more extensive testing and other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AEs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the U.S. Federal Trade Commission (the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 and state authorities have broad enforcement powers. Our failure to comply with applicable regulatory requirements could result in enforcement action by the FDA or state agencies, which may include any of the following sanctions,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warning letters, fines, injunctions, consent decrees, and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to repair, replace, refund, or recall our marketed devices, or government seizure of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refusing our requests for 510(k) clearance or premarket approval of new devices, new intended uses or modifications to existing devices;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withdrawing premarket approvals that have already been granted or reclassifying our devices;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these events were to occur, our business and financial condition would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relationships with healthcare providers and physicians and third-party payors will be subject to applicable anti-kickback, fraud and abuse and other healthcare laws and regulations, which could increase our compliance costs, and expose us to criminal sanctions, civil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and current and future arrangements with investigators, healthcare professionals, consultants, marketing personnel,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 for which we obtain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Efforts to ensure that our current and future business arrangements both internally and with third parties will comply with applicable healthcare laws and regulations will involve ongoing substantial costs. It is possible that governmental and enforcement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interpreting applicable fraud and abuse or other healthcare laws and regulations. These laws include federal and state anti-kickback laws, false claims statutes, civil monetary penalties laws, as well as transparency laws regarding payments or other items of value provided to healthcare providers, and laws related to price reporting. Due to the breadth of these laws, the narrowness of statutory exceptions and regulatory safe harbors available, and the range of interpretations to which they are subject, it is possible that some of our current or future practices may be challenged under one or more of these laws. Healthcare providers, physicians and third-party payors in the United States and elsewhere play a primary role in the recommendation and prescription of pharmaceutical products. Arrangements with third-party payors and customers can expose pharmaceutical and medical technology companies to broadly applicable fraud and abuse and other healthcare laws and regulations that may constrain the business or financial arrangements and relationships through which we conduct research and would sell, market and distribute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such as Medicare and Medicaid integrity oversight and reporting obligations, contractual damages, individual imprisonment, reputational harm, diminished profits and future earnings,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successful commercialization of any of our product candidates, if approved, will depend in part on the extent to which governmental authorities and health insurers establish coverage, adequate reimbursement levels and favorable pricing policies. Coverage and reimbursement may be limited or unavailable in certain market segments for our product candidates, if approved, which could make it difficult for us to sell any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product candidates, if approved, depends on the availability of coverage and adequate reimbursement from third-party payors, including governmental healthcare programs such as Medicare and Medicaid, private health insurers and other third-party payors. Our ability to achieve coverage and acceptable levels of reimbursement for our product candidates by third-party payors will have an effect on our ability to successfully commercialize those products. We cannot be sure that coverage and reimbursement will be available for, or accurately estimate the potential revenue from, our product candidates or assure that coverage and reimbursement will be available for any product that we may develop.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 authorities and other third-party payors, such as private health insurers and health maintenance organizations, decide which products and services they will cover and the amount of reimbursement. Coverage and reimbursement by a third-party payor may depend upon a number of factors, including the third-party payor’s determination that use of a product or service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products and services exists among all third-party payors. As a result, obtaining coverage and reimbursement approval of a product or service from a government or other third-party payor is a time-consuming and costly process that could require us to provide to each payor supporting scientific, clinical and cost-effectiveness data for the use of our products or services on a payor-by-payor basis, with no assurance that coverage and adequate reimbursement will be obtained. Furthermore, rules and regulations regarding reimbursement change frequently, and, in some cases, at short notice, and we believe that changes in these rules and regulations are likely.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medical products and services, and many third-party payors may refuse to provide coverage and reimbursement for particular technologies or drugs when an equivalent generic drug or a less expensive therapy is available. It is possible that a third-party payor may consider our product candidates as substitutable and offer to reimburse patients only for a less expensive competitor product. Even if we are successful in demonstrating improved efficacy or improved convenience of administration with our product candidates, pricing of existing products and services may limit the amount we will be able to charge for our products and services. These payors may deny or revoke the reimbursement status of a given product or service, or establish prices for new or existing marketed products or services at levels that are too low to enable us to realize an appropriate return on our investment in product development.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reimbursement is not available or is available only at limited levels, we may not be able to successfully commercialize our products and may not be able to obtain a satisfactory financial return on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obtain coverage for a given product, the resulting reimbursement payment rates might not be adequate for us to achieve or sustain profitability or may require co-payments that patients find unacceptably high. There is significant uncertainty related to insurance coverage and reimbursement of newly approved products. In the United States, no uniform policy of coverage and reimbursement for drug products exists among third-party payors. Private payors tend to follow the coverage and reimbursement policies established by the U.S. Centers for Medicare &amp; Medicaid Services (the “CMS”) which determines whether and to what extent a new medicine will be covered and reimbursed under Medicare. Additionally, third-party payors may not cover, or provide adequate reimbursement for, long-term follow-up evaluations, or other ancillary services required following the use of product candidates, once approved. Some third-party payors may require pre-approval of coverage or implement prior authorization or step therapy programs for new or innovative drug therapies or services before they will reimburse patients who use such therapies which may become time-consuming or costly for patients and lead to a reduction in revenue. Patients are unlikely to use our product candidates, once approved, unless coverage is provided and reimbursement is adequate to cover a significant portion of their cost.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prices for certain products, especially for drug products may be reduced by mandatory discounts or rebates required by government healthcare programs or private payors and by any future changes to laws. Increasingly, third-party payors are requiring that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are required to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for example,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some foreign countries, the proposed pricing for a product must be approved before it may be lawfully marketed. The requirements governing product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Ongoing healthcare legislative and regulatory reform measures may have a material adverse effect on our business and results of operations and increase the difficulty and cost for us to obtain coverage for and commercialize any of our current or future product candidates and may adversely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As a company developing both pharmaceutical products and utilizing medical device technology through our acquisition of Prolaio, we may be subject to healthcare reform measures affecting both drug and device manufacturers. If any such changes were to be imposed, they could adversely affect the operation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For instance, the Inflation Reduction Act of 2022 (the “IRA”) includes several provisions that will impact our business to varying degrees, including provisions that allow the U.S. government to negotiate Medicare Part B and Part D pricing for certain high-cost drugs and biologics without generic or biosimilar competition, among others. Depending upon the implementation of this program, these price-negotiation provisions may have a negative impact on our future revenue and profits. Further, the IRA imposes rebates with respect to certain drugs and biologics covered under Medicare Part B or Medicare Part D to penalize price increases that outpace inflation. The implementation of the IRA is currently subject to ongoing litigation that challenges the constitutionality of the IRA’s drug price negotiation program provisions. The outcome of this litigation as well as the effects of the IRA on the pharmaceutical industry cannot yet be fully determined but is likely to be significant. Additional drug pricing proposals could appear in future legislation. Adoption of price controls and cost-containment measures, and adoption of more restrictive policies in jurisdictions with existing controls and measures, could further limit our revenue generated from the sale of any approved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Most recently, the current administration has pursued a multi-pronged most-favored-nation (“MFN”) drug pricing strategy that could materially affect our ability to generate revenue from our product candidates, if approved. This strategy includes the May 12, 2025 Executive Order directing HHS to communicate MFN price targets to manufacturers, resulting in voluntary MFN pricing agreements between the administration and 17 major manufacturers (committing to Medicaid price parity, MFN pricing on new launches, and participation in TrumpRx.gov in exchange for tariff relief and regulatory benefits); CMS’s proposed mandatory GLOBE (Medicare Part B) and GUARD (Medicare Part D) payment models that would impose incremental rebate obligations on manufacturers of qualifying single-source drugs in specified therapeutic categories, and a voluntary Medicaid MFN model (GENEROUS). Legislative proposals, including the “Most Favored Patient Act” introduced in March 2026, seek to codify these initiatives. It is unclear whether these proposals will survive legal challenge (a prior MFN model was halted by federal courts and rescinded); but, this movement represents an evolving area of uncertainty that could materially adversely affect our pricing strategy and revenue, if our product candidates are approved and achieve commercial scale.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state governments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laws, and future state and federal healthcare reform measures may be adopted in the future, any of which may result in additional reductions in Medicare and other healthcare funding, more rigorous coverage criteria, new payment methodologies, and additional downward pressure on the price that we receive for any approved product candidate for which we may obtain regulatory approval, and the frequency with which any such product candidate is prescribed or used. The implementation of cost containment measures, changes in healthcare spending and policy, or other healthcare reforms may prevent us from being able to generate revenue, attain profitability or commercialize our product candidates, and materially affect our business, if approved.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affected by litigation, government investigations and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independent contractors, consultants, third-party manufacturers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illegal activity by our current and any future employees, independent contractors, consultants, contract manufacturers, and vendors. Misconduct by these parties could include intentional, reckless, and/or negligent conduct that fails to comply with FDA or other regulations, provide true, complete and accurate information to the FDA, EMA,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allegations of non-compliance with these laws and curtailment of our operations, any of which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Off-label use or misuse of our product candidates may harm our reputation in the marketplace or result in injuries that lead to costly product liability 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 candidates are approved by the FDA, we may only promote or market our product candidates in a manner consistent with their FDA-approved labeling.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The 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Disruptions at the FDA or other comparable regulatory authorities or government agencies may also slow the time necessary for new drugs to be reviewed and/or approved by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EU medicine marketing and reimbursement regulations may materially affect our ability to market and obtain reimbursement for our products in the EU Member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may restrict the range of medicinal products for which their national health insurance systems provide reimbursement and control the prices of such products.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of hazardous materials, we could be held liable for any resulting damages, and any liability could exceed our resources. We also could incur significant costs associated with civil or criminal fines and penalties.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depends upon our ability to obtain and protect our intellectual property and proprietary information. If we or our licensors are unable to obtain, maintain, defend and enforce patent or other intellectual property protection for any of our current or future product candidates or platform technologies, or if the scope of the patent or other intellectual property protection obtained is not sufficiently broad or enforceable, third parties could develop and commercialize products and technology similar or identical to ours, and our ability to successfully commercialize any of our current or future product candidates and platform technologies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may in the future rely, upon a combination of patents, know-how, trademarks, trade secrets, and confidentiality agreements, to protect the intellectual property related to our current and future product candidates and proprietary platform technologies to prevent third parties from exploiting our achievements, thus eroding our competitive position in our market. We also rely on protection afforded by in-licensed intellectual property rights and proprietary technology of third parties. Our success depends in large part on our ability to obtain, maintain, expand, enforce, and defend the scope, ownership or control, validity and enforceability of our intellectual property protection in the United States and other countries with respect to any of our current and future product candidates and other proprietary platform technologies we may develop, as well as our ability to operate without infringing the proprietary rights of others. We generally seek, and may in the future seek, to protect our proprietary position, in part, by filing patent applications in the United States and abroad relating to any of our current and future product candidates and platform technologies, manufacturing processes and methods of use. We also seek to protect, and may seek to protect, our proprietary position by in-licensing or acquiring in the future relevant issued patents, pending patent applications and proprietary technologies from third parties. We will endeavor to seek additional patent protection to cover proprietary features of our product candidates, platform technologies and novel discoveries that are important to our business. Some of our in-licensed patent families were drafted, filed, and prosecuted by our licensors and even where we now control the right to prosecution under the applicable license agreements, we are still required to solicit input and consider comments from such licensors. Additionally, some of our owned and in-licensed patent families are in an early stage of prosecution and cannot be enforced against third parties practicing the technology claimed in such applications unless, and until, patents are issued from such applications, and then only to the extent the issued claims cover the third parties’ activities. Our ability to stop third parties from making, using, selling, marketing, offering to sell, importing and commercializing any product candidates or platform technologies we may develop is dependent upon the extent to which our products are covered by valid and enforceable patents or are effectively maintained as trade secrets. If we are unable to obtain, maintain, expand, enforce and defend the scope, ownership or control, validity and enforceability of our intellectual property protection, our business, financial condition, results of operations and prospects could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unenforceable, or not infringed or not owned or controlled by us. 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or our licensors will fail, or previously failed, to identify patentable aspects of research and development output in time to obtain patent protection. Although we enter into non-disclosure and confidentiality agreements with parties who have access to confidential or patentable aspects of our research and development output, such as our employees, licensees,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from competing with any of our current or future product candidates or platform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owned or in-licensed patents or pending patent applications, or that we or our licensors were the first to file for patent protection of such inventions. If a third party can establish that we or our licensors were not the first to invent or the first to file for patent protection of such inventions, our owned or in-licensed patents and patent applications may not issue as patents and even if issued, may be challenged and invalidated or rendered unenforceable.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owned and in-licensed patent rights are highly uncertain. Our current and future patent applications may not result in patents being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even if patents are granted, they may not afford sufficient protection of any of our current or future product candidates or proprietary platform technologies or their intended uses against competitors, nor can there be any assurance that the issued patents cannot be designed around, invalidated by third parties, or effectively prevent others from commercializing competitive products or technologies to any of our current or future product candidates or platform technologies. Furthermore, even if granted, the resulting patents may be difficult to enforce. Obtaining and maintaining our owned and in-licensed patent protection depends on compliance with various procedural, document submission, information disclosure, fee payment and other requirements imposed by governmental patent agencies, and our patent protection could be reduced or eliminated if we fail to comply with these requirements. If we experience noncompliance events that cannot be corrected and we lose our patent rights, competitors could enter the market, which would have a material adverse effect on our business. Further, any issued patents that we own or license or may own or license in the future covering any of our current or future product candidates or platform technologies could be narrowed or found invalid or unenforceable if challenged in court or before administrative bodies in the United States or other countries, including the U.S. Patent and Trademark Office (the “USPTO”). Grounds for a validity challenge could be an alleged failure to meet any of several statutory requirements, including lack of novelty, obviousness, lack of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In certain circumstances, the finding could be cured by filing a retroactive terminal disclaimer over unexpired reference patent(s), which would result in a reduction of patent term, including a reduction or loss of a patent term adjustment granted by the USPTO. Grounds for an unenforceability assertion could be an allegation that someone connected with prosecution of the patent withheld information material to patentability from the USPTO, or made a misleading statement, during prosecution. Also, patent terms, including any extensions or adjustments that may or may not be available to us, may not protect our competitive position on any of our current or future product candidates or platform technologies for an adequate amount of time, and we may be subject to claims challenging the inventorship, ownership, validity, enforceability of our owned or in-licensed patents and/or other intellectual property. Changes in U.S. patent law, or laws in other countries, could diminish the value of patents in general, thereby impairing our ability to protect any of our current or future product candidates or platform technologies. Further, if we encounter delays in our development and testing, clinical trials or regulatory review and approval of any of our current or future product candidates, the period of time during which we could market such product candidates under patent protection may be reduced, since any patents protecting such product candidates might expire before or shortly after such product candidates are commercialized. Thus, our owned and in-licensed patents may not provide us with sufficient rights to exclude others from commercializing products similar or identical to ours or afford us any meaningful competitive advantage.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the claim coverage in a patent application can be significantly reduced before the corresponding patent is granted. Even if owned or in-licensed patent applications issue as patents, they may not issue in a form that will provide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any meaningful protection, prevent competitors or other third parties from competing with us or otherwise provide us with any competitive advantage. Any patents issuing from our owned and in-licensed patent applications may be challenged, narrowed, circumvented or invalidated by third parties. Consequently, we do not know whether any of our current or future product candidates and other proprietary platform technologies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(the “Hatch-Waxman Amendments”) to conduct research and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a patent is not conclusive as to its inventorship, ownership, scope, validity, or enforceability, and our owned or in-licensed patent rights may be challenged in the courts or patent offices in the United States and abroad. We may be subject to post-grant proceedings at the USPTO challenging the validity of one or more claims of our owned and in-licensed patents. Third-party submissions may also be made prior to a patent’s issuance, precluding the granting of a patent based on our pending patent application or patent application we may license in the future. A third party may also claim that our owned and in-licensed patent rights are invalid or unenforceable in a litigation. The outcome following legal assertions of invalidity and unenforceability is unpredictable. In addition, we or our licensors may become involved in opposition, derivation, revocation, reexamination, reissue, interference, inter partes review, post-grant review proceedings or other similar proceedings in the United States and/or foreign jurisdictions challenging our patent rights. An adverse determination in any such submission, proceeding or litigation could reduce the scope of, or invalidate or render unenforceable, our owned or in-licensed patent rights, and may allow third parties, including generic drug companies, to commercialize any of our current or future product candidates and use any other proprietary platform technologies we may develop to compete directly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some of our owned or in-licensed patent rights are co-owned with third parties or subject to third party rights under the Bayh-Dole Act of 1980, and our future owned or in-licensed patent rights may be co-owned with third parties or subject to third party rights. For instance, at least a portion of the patent rights in our Prolaio patent portfolio and at least a portion of the patent rights in-licensed from Mayo may be subject to a U.S. government agency’s “March-in rights” under 35 U.S.C. §§200-212, and certain preclinical stage product candidates in-licensed from BMS Co. are co-owned by BMS Co. and a university and exclusively licensed to us from BMS Co.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or if any of our material license agreements are terminated, we could lose our rights to key intellectual property and components enabling our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heavily depend on the maintenance of our license agreements. We are a party to license agreements with Ionis, MyoKardia, BMS Co., Sanofi, and Mayo that are important to our business. If, for any reason, our license agreements are terminated or we otherwise lose some or all of the rights under such agreements, it would adversely affect our business. For example, pursuant to our license agreements with Mayo, MyoKardia, BMS Co. and Ionis, we have exclusive and worldwide rights to develop and commercialize our product candidates, impose, and future agreements may impose, various development, diligence, commercialization, milestone payment, royalty and other obligations on us and require us to meet development, regulatory or commercialization timelines, or to exercise commercially reasonable efforts to develop and commercialize licensed products, in order to maintain the licenses. If we fail to satisfy any obligations under such license agreements, the applicable licensor may terminate our license, which could have a material adverse effect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For example, disputes may arise regarding the payment of the royalties or other payments due to licensors in connection with the rights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from them. Licensors may contest the basis of such payments, including the royalties we retained and claim that we are obligated to make payments under a broader basis. In addition, disputes may arise between us and our current or future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misappropriate or otherwise violate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patents and other rights to third parties under our license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transfer or assign the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current or future licensors and us and our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or platform technologies,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these license agreements. Such termination would result in the ability of the prior licensor to assert the prior licensed patents against us, or the prior licensor could license the patents to a competitor who could assert the prior licensed patents against us. As a result, we may be required to cease our development, manufacture and commercialization of our product candidates and use of our proprietary platform technologies covered by the patent rights owned by the licensors, which could have a material adverse effect on us. Alternatively, the prior licensor could abandon the patent rights, which would reduce the barrier to entry into the market. If these in-licenses are terminated, or if the in-licensed patents fail to provide the intended exclusivity, and if competitors circumvent any regulatory exclusivity, competitors would have the freedom to market products identical to ours. These events could have a material adverse effect on our competitive position,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For example, we may agree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development of our proprietary platform technologies and product candidates may require us to enter into additional license or collaboration agreements. Our future licenses may not provide us with commercially reasonable terms, exclusive rights to use the licensed intellectual property and technology, or exclusive rights to use such intellectual property and technology in all relevant fields of use and in all territories in which we may wish to develop or commercialize our product candidates and platform technologies in the future.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in the future enter into collaborations and further strategic alliances to maximize the potential of our product candidates or platform technologies, and we may not realize the anticipated benefits of such collaborations or alliances. We may continue to form collaborations or alliances in the future with respect to any of our current or future product candidates or platform technologies, but may be unable to do so or to realize the potential benefits of such transactions, which may cause us to alter or delay our development and commercialization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license agreements, and may in the future seek to enter into collaborations, strategic alliances, joint ventures, additional licenses and other similar arrangements for the development or, if approved, commercialization of any of our current and future product candidates due to capital costs required to develop or commercialize such product candidates or otherwise. We may not be successful in our efforts to establish or maintain collaborations or other similar arrangements because our research and development pipeline may be insufficient, future product candidates may be deemed to be at too early of a stage of development for collaborative effort or third parties may not view any of our current or future product candidates as having the requisite potential to demonstrate safety and potency (or efficacy), or significant commercial opportunity.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have conflicts with our future collaborators,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Moreover, a collaborator with marketing and distribution rights to one or more products may not commit sufficient resources to the marketing and distribution of such product or products. If any conflicts arise with any of our future collaborators, such collaborator may act in a manner that is adverse to our best interests. Any such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face significant competition in seeking appropriate strategic partners, and the negotiation process can be time-consuming and complex. Even if we are successful in our efforts to establish or maintain such collaborations, the terms that we agree upon may not be favorable to us. As a result, we may need to relinquish valuable rights to our future revenue streams, research and development programs, intellectual property, any of our current or future product candidates, or grant licenses on terms that may not be favorable to us, as part of any such arrangement, and such arrangements may restrict us from entering into additional agreements with other potential collaborators. In addition, our future collaborations may limit our control over the amount and timing of resources that our collaborators will dedicate to the development or commercialization of any of our current or future product candidates.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product candidates for our pipeline. Furthermore, we may not be able to maintain such collaborations if, for example, the development or approval of any current or future product candidates are delayed, the safety of any such product candidate is questioned, or the sales of any of our current or future product candidates, if approved, are unsatisfactory.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future collaborations may be terminable by our collaborators and strategic partners, and we may not be able to adequately protect our rights under these agreements. Furthermore, strategic partners may negotiate for certain rights to control decisions regarding the development and, if approved, commercialization of any of our current or future product candidates, and may not conduct those activities in the same manner as we do. Any termination of our collaborations we enter into in the future, or any delay in entering into collaborations related to any of our current or future product candidates, could delay the development and, if approved, commercialization of such product candidates, and reduce their competitiveness if they reach the market, which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and proprietary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maintaining, enforcing and defending patents on any of our current or future product candidates or platform technologies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including limiting patent protection to specifically disclosed embodiments. Consequently, we may not be able to prevent third parties from practicing our inventions in all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infringing products to territories where we have patent protection, but enforcement is not as strong as that in the United States. These products may compete with our products, and our current or future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owned and in-licensed patents or marketing of competing products in violation of our intellectual property and proprietary rights generally. In addition, some jurisdictions, such as Europe, Japan and China, may have a heightened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Proceedings to enforce our owned and in-licensed intellectual property and proprietary rights in the United States or other jurisdictions could result in substantial costs and divert our efforts and attention from other aspects of our business, could put our current patents and any patents we may own or license in the future at risk of being invalidated or interpreted narrowly, could put our owned and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owned and in-licensed intellectual property and proprietary rights around the world may be inadequate to obtain a significant commercial advantage from the intellectual property that we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countries have compulsory licensing laws under which a patent owner or exclusive licensee may be compelled to grant licenses to third parties, including governmental agencies. In addition, many countries limit the enforceability of patents against government agencies or government contractors. In these countries, the patent owner or exclusive licensee may have limited remedies, which could materially diminish the value of such patent protection.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licensors and the maintenance, enforcement or defense of our issued patents which could impair our competitive intellectual property position. For example, the United States and foreign government actions related to Russia’s conflict in Ukraine may limit or prevent filing, prosecution, and maintenance of patent applications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Obtaining and maintaining our owned and in-licensed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non-U.S. government agencies require compliance with several procedural, documentary, fee payment and other similar provisions during the patent application process. In some circumstances, we may be dependent on our licensors to take the necessary action to comply with these requirements with respect to any in-licensed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and in-licensed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relevant markets with similar or identical products or technology, which could have a material adverse effect on our business, financial condition, results of operations and prospects. We may also be dependent on licensors to take the necessary actions to comply with these requirements with respect to our in-licensed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any of our current and future product candidates or platform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patent laws or their interpretations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any of our current or future product candidates and other proprietary platform technologies we may develop or (ii) invent any of the inventions claimed in our patents or patent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or in-licensed patent claims or any patent claims we may license in the future that would not have been invalidated if first challenged by the third party as a defendant in a district court action.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owned and in-licensed patent rights. For example, the U.S. Supreme Court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owned and in-licensed patent rights that grant with functional claims may be vulnerable to third party challenges seeking to invalidate these claims for lacking enablement or adequate support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addition to heightened patentability requirements, the Supreme Court and Federal Circuit’s interpretation of biosimilar product approval under the Biologics Price Competition and Innovation Act, has evolved in recent years, affecting the “patent dance” provisions of the statute, which are intended to resolve any patent infringement issues before the approval of a biosimilar.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2012, the European Union Patent Package (the “EU Patent Package”) regulations were passed with the goal of providing a single pan-European Unitary Patent and a new European Unified Patent Court (the “UPC”) for litigation involving European patents. The EU Patent Package was implemented on June 1, 2023, and has become a common forum for challenging European patents.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patents and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Such a loss of patent protection could have a material adverse impact on our business and our ability to commercialize our current and future platform technologies and any of our current and future product candidates due to increased competition and, resultantly, on our business, financial condition, results of operations and prospects. The UPC and Unitary Patent are significant changes in European patent practice. As the UPC is a new court system, there is limited precedent for the court, increasing the uncertainty of any litigation in the UPC.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Issued patents covering any of our current or future product candidates or platform technologies could be found invalid or unenforceable if challenged in court or before administrative bodies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owned and in-licensed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of our licensors are unsuccessful in any of these proceedings, such patents and patent applications may be narrowed, invalidated or held unenforceable. Any of the foregoing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initiate legal proceedings against a third party to enforce a patent covering any of our current or future product candidates or platform technologies,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shortening the term of or amendment to our owned or in-licensed patent rights or any patent rights we may obtain or license in the future in such a way that they no longer cover any of our current or future product candidates or platform technologies or prevent third parties from competing with our product candidates or platform technologies. The outcome following legal assertions of invalidity and unenforceability is unpredictable. With respect to the validity question, for example, we cannot be certain that there is no invalidating prior art, of which we or our licensors and the patent examiner were unaware during prosecution. If a third party were to prevail on a legal assertion of invalidity or unenforceability, we would lose at least part, and perhaps all, of the patent protection for any of our current or future product candidates or platform technologies. There is also a risk that, even if the validity of such patents is upheld, the court will construe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patent’s claims narrowly or decide that we do not have the right to stop the other party from using the invention at issue on the grounds that our owned and in-licensed patent claims do not cover the invention, or decide that the other party’s use of our patented technology falls under the safe harbor to patent infringement under 35 U.S.C. § 271(e). Such a loss of patent protection would have a material adverse impact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terms may be inadequate to protect the competitive position of any of our current or future product candidates or platform technologies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any of our current or future product candidates or platform technologies are obtained, once the patent has expired, we may be vulnerable to competition from competitive products, including generics. Given the amount of time required for the development, testing and regulatory review of any of our current or future product candidates or platform technologies, patents protecting such product candidates or platform technologies might expire before or shortly after such product candidates or platform technologies are commercialized. As a result, our intellectual property may not provide us with sufficient rights to exclude others from commercializing products similar or identical to our product candidates or platform technologies. If we do not have sufficient patent life to protect our products, our business, financial condition, results of operations and prospects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obtain patent term extension and equivalent extensions outside of the United States for any of our current or future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any FDA regulatory approval of any of our current or future product candidates, one or more of our owned or in-licensed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of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our licensors may be subject to claims challenging the inventorship or ownership of our owned and in-licensed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consultants, licensees, collaborators or other third parties have an interest in our owned or in-licensed patent rights, trade secrets, or other intellectual property as an inventor, co-inventor or owner of trade secrets. For example, we or our licensors may have inventorship or ownership disputes arise from conflicting obligations of consultants or others who are involved in developing any of our current or future product candidates and other proprietary platform technologies we may develop. We or our licensors may have relied on third-party consultants or collaborators or on funds from third parties, such as from a government entity, such that we or our licensors are not the sole and exclusive owners of the patents we in-licensed. The failure to name the proper inventors on a patent application can result in the patents issuing therefrom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platform technologies or as a result of questions regarding co-ownership of potential joint inventions. Litigation may be necessary to defend against these and other claims challenging inventorship or ownership of our owned or in-licensed patent rights, trade secrets or other intellectual property. If we or our licensors fail in defending any such claims, in addition to paying monetary damages, we may lose valuable intellectual property rights, such as ownership of, or the right to use intellectual property that is important to any of our current or future product candidates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proprietary platform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and licensors’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 protection for any of our current or future product candidates and proprietary platform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licensees,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(such as through a cybersecurity breach)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 Additionally, we may need to share our proprietary information, including trade secrets, with current or future business partners, collaborators, contractors and others located in countries at heightened risk of theft of trade secrets, including through direct intrusion by private parties or foreign actors, and those affiliated with or controlled by state 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claims that third parties have an ownership interest in our trade secrets. For example, we may have disputes arise from conflicting obligations of our employees, consultants or others who are involved in developing any of our current or future product candidates or platform technologies.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any of our current or future product candidates and other proprietary platform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that we caused an employee to breach the terms of his or her non-competition or non-solicitation agreement.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any of our current or future product candidates or platform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guarantee that any of our or our licensors’ patent searches or analyses, including the identification of relevant patents, the scope of patent claims or the expiration of relevant patents, are or will be complete or thorough, nor can we be certain that we or our licensors have identified or will identify each and every third-party patent and pending patent application in the United States and abroad that is relevant to or necessary for the commercialization of any of our current or future product candidates or platform technologies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any of our current or future product candidates or platform technologies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any of our current or future product candidates or platform technologies are not covered by a third-party patent or may incorrectly predict whether a third party’s pending patent application will issue with claims of relevant scope. Alternatively, we may incorrectly determine that the Hatch-Waxman Amendments are a defense for a safe harbor to infringement of a patent we consider relevant to the research or clinical development of any of our current or future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any of our current or future product candidates or platform technologies.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current or future product candidates or platform technologies that are held to be infringing. We might, if possible, also be forced to redesign any of our current or future product candidates or platform technologies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Third-party claims of intellectual property infringement, misappropriation, or other violations against us or our collaborators could be expensive and time-consuming and may prevent or delay the development and commercialization of any of our current or future product candidates or platform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inter partes review, post-grant review, and reexamination proceedings before the USPTO or oppositions and other comparable proceedings in foreign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U.S. and foreign-issued patents and pending patent applications owned by third parties exist in the fields in which we plan to commercialize our programs (including product candidates and platform technologies) and in which we are developing other proprietary technologies. As the biotechnology and pharmaceutical industries expand and more patents are issued, and as we gain greater visibility and market exposure as a public company, the risk increases that our programs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commercializing activities may give rise to claims of infringement of the patent rights of others. We cannot guarantee that our product candidates, platform technologies and other proprietary technologies we develop will not infringe existing or future patents owned by third parties. We may not be aware of patents that have already been issued for which a third party, such as a competitor in the fields in which we are developing our product candidates, platform technologies and other proprietary technologies,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any of our current or future product candidates.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any of our current or future product candidates or platform technologies or the use of any such product candidates or platform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third-party claims that we infringe their patents or that we are otherwise employing their proprietary technology without authorization and initiates litigation against us, even if we believe such claims are without merit, a court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any of our current or future product candidates or platform technologies.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owned and in-licensed patents and other intellectual property rights, which could be expensive, time-consuming, and unsuccessful.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such as competitors, may infringe our owned or in-licensed patent rights. In an infringement proceeding, a court may decide that a patent we own or in-license is invalid or unenforceable or may refuse to stop the other party from using the invention at issue. In addition, our owned or in-licensed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If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any of our current or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or identical to any of our current or future product candidates or utilize similar technology but that are not covered by the claims of the patents that we currently or may in the future own or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collaborators might not have been the first to make the inventions covered by our current or future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our or their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and future patent applications that we own or may license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issued patent that we own or license in the future may be held invalid or unenforceable, including as a result of legal challenges by our competitors or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have access to the same intellectual property rights licensed to us in the future on a non-exclusive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identify potential patentable subject matter and/or may fail to file on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or other intellectual property rights of others may harm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for patent protection to maintain certain trade secrets or know-how, and a third party may subsequently file a patent application covering such intellectual property or disclose information resulting in a loss of protection for such trade secret.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Should any of the foregoing occur, it could adversely affect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candidates,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business may depend in part on our ability to acquire, in-license or use third-party intellectual property and proprietary rights. For example, any of our current or future product candidates may require specific formulations to work effectively and efficiently, we may develop product candidates containing our compounds and pre-existing pharmaceutical compounds, we may develop combination therapies with our compounds and third-party compounds,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can obtain a license, it may be non-exclusive, which means that our competitors may also receive access to the same technologies licensed to us. In that event, we may be required to expend significant time and resources to develop or license replacement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can obtain a license, it may be non-exclusive, and our competitors may also receive access to the same technologies licensed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to commercialize any of our current or future product candidates.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any of our current or future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common stock may be volatile, which makes our future operating results difficult to predict and could cause our operating results to fall below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may be volatile and could be subject to wide fluctuations in response to various factors, some of which are beyond our control, including limited trading volume. In addition to the factors discussed in this section and elsewhere in this Quarterly Report on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completion or results of our current or future preclinical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identifying and advancing a clinical candidate for our other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suspensions or terminations in future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of our product candidates or the failure of a regulatory authority to accept data from preclinical studies or clinical trials conducted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any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product candidates or services offered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 and cash burn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the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political and economic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many of which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reputational harm and a diversion of management’s attention and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and annual operating results may fluctuate significantly, due to a variety of factors, many of which are outside of our control and may be difficult to predict,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cost of, and level of investment in, research, development and, if approved, commercialization activities relating to our current and future product candidates, which may change from time to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status of enrollment for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 as well as building out our supply chain, which may vary depending on the quantity of production and the terms of our agreements with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to acquire, develop or commercialize additional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amount of any milestone, royalty or other payments due under any collaboration, license or purchase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accounting pronouncements or changes in our accounting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receipt of approvals for our product candidates from regulatory authorities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rate and interest rate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and reimbursement policies with respect to our product candidates, if approved, and potential future drugs that compete with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our product candidates, if approved, which may vary significantly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Similarly, if one or more of these analysts ceases coverage of our company or fails to publish reports on us regularly, demand for our stock could decrease, which might cause our stock price and trading volume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executive officers, directors, principal stockholders and their respective affiliates own a significant percentage of our common stock and have the ability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directors, five percent stockholders and their affiliates beneficially own a significant percentage of our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In addition, certain of our principal stockholders, including ARCH Venture Fund XIII, L.P. and Perceptive Capital Solutions Holding LP, have designated certain members of our board of directors. The interests of these stockholders may not be the same as or may even conflict with the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common stock price to drop significantly, even if our business is performing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holders of a large number of shares intend to sell shares, could reduce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93,467,940 shares of common stock outstanding. Of these shares, the 28,750,000 shares sold in our IPO may be resold in the public market immediately. The resale of certain shares of our outstanding common stock is currently restricted under securities laws or as a result of lock-up or other agreements, but will be able to be sold after the expiration of the lock-up in November 2026 and termination of restrictions under securities laws. Moreover, certain holders of our common stock have rights, subject to certain conditions, to require us to file registration statements covering their shares or to include their shares in registration statements that we may file for ourselves or other stockholders. We have also registered all shares of common stock that we may issue under our equity compensation plans or that are issuable upon exercise of outstanding options. These shares can be freely sold in the public market upon issuance and once vested,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volume limitations applicable to affiliates and lock-up agreements. If any of these additional shares are sold, or if it is perceived that they will be sold, in the public market, the market price of our common stock could decline.</w:t>
      </w:r>
    </w:p>
    <w:p>
      <w:pPr>
        <w:pStyle w:val="TextBody"/>
        <w:bidi w:val="0"/>
        <w:jc w:val="left"/>
        <w:rPr>
          <w:rFonts w:ascii="Times New Roman" w:hAnsi="Times New Roman"/>
          <w:color w:val="000000"/>
          <w:sz w:val="20"/>
        </w:rPr>
      </w:pPr>
      <w:r>
        <w:rPr>
          <w:rFonts w:ascii="Times New Roman" w:hAnsi="Times New Roman"/>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Issuance of capital stock in connection with financings, acquisitions, investments, our stock incentive plans or otherwise will dilute all other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issue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currently intend to pay dividends on our common stock and, consequently, our stockholders’ ability to achieve a return on their investment will depend on appreciation of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 amended and restated certificate of incorporation and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only one of three classes of directors is elected each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not less than two-thirds of the votes that all our stockholders would be entitled to cast to amend or repeal specified provisions of our third amended and restated certificate of incorporation or amended and restated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acquired in excess of 15% of our outstanding voting stock, unless the merger or combination is approved in a prescribed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third amended and restated certificate of incorporation or our amended and restated bylaws (including the interpretation, validity or enforceability thereof) or (iv) any action asserting a claim that is governed by the internal affairs doctrine (the “Delaware Forum Provision”). The Delaware Forum Provision does not apply to any causes of action arising under the Securities Act or the Securities Exchange Act of 1934, as amended (the “Exchange Act”).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or the Exchange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federal forum selection provisions purporting to require claims under the Securities Act or Exchange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maintain a listing of our common stock on Nasdaq.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meet certain financial and liquidity criteria to maintain a listing of our common stock on Nasdaq. If we violate Nasdaq’s listing requirements, our common stock may be delisted. If we fail to meet any of Nasdaq’s listing standards, our common stock may be delisted. The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structure of our common stock may limit the ability of certain stockholders to influence corporate matters and may limit such stockholders' visibility with respect to certain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structure of our common stock may also limit the ability of certain stockholders to influence corporate matters. Holders of our common stock are entitled to one vote per share, while holders of our non-voting common stock are not entitled to any votes. We do not currently have any shares of non-voting common stock outstanding. Nonetheless, we may issue non-voting common stock in the future and each outstanding share of our non-voting common stock may be converted at any time into one share of our common stock at the option of its holder by providing written notice to us, subject to the limitations provided for in our third amended and restated certificate of incorporation. Consequently, if holders of our non-voting common stock, if any, in the future exercise their option to make this conversion, this will have the effect of increasing the relative voting power of such holders of our non-voting common stock, and correspondingly decreasing the voting power of all other holders of our common stock, which may limit the ability of such holders to influence corporate matters.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Exchange Act, and may not be subject to the short-swing profit provisions of Section 16(b) of the Exchange Act.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general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global economic and geopolitical conditions could adversely affect our business, financial condition, stock price,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U.S. policy implemented by the U.S. Congress or U.S. presidential administrations have impacted and may in the future impact, among other things, the U.S. and global economy, international trade relations, unemployment, immigration, healthcare, taxation, the U.S. regulatory environment, inflation and other areas. Since the start of the most recent U.S. presidential administration in 2025, U.S. policy changes have been implemented at a rapid pace and additional changes are likely. For example, the implementation of tariffs by the U.S. government has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global credit and financial markets have also generally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fluctuating interest rates, uncertainty about economic stability, global supply chain disruptions, and increases in unemployment rates. The financial markets and the global economy may also be adversely affected by the current or anticipated impact of military conflict, including the ongoing conflicts between Russia and Ukraine, and in the Middle East, terrorism, political unrest or other geopolitical events. Sanctions imposed by the U.S.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also current geopolitical tensions with China that may affect our operations. For example, the recently enacted BIOSECURE Act, which, among other things, prohibits U.S. federal funding in connection with biotechnology equipment or services produced or provided by certain named Chinese “biotechnology companies of concern” and loans and grants to, and federal contracts with any entity that uses biotechnology equipment or services from one of these entities. Any additional executive action, legislative action similar to the BIOSECURE Act or potential sanctions with China could materially impact manufacturing partners and our agreements with them. We continue to assess any legislation as it develops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the effect, if any, on our contractual relationships. Furthermore, any disruptions to our supply chain as a result of unfavorable global economic conditions, including due to geopolitical conflicts, political unrest or public health crises, could negatively impact the timely execution of our ongoing and future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current inflationary trends in the global economy may impact salaries and wages, costs of goods and transportation expenses, among other things, and recent events of political unrest and/or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or the third parties upon whom we depend, may be adversely affected by natural disasters, public health crises or other business interruptions and our business continuity and disaster recovery plans may not adequately protect us from a serious disaster.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as amended (the “JOBS Act”). 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being required to comply with the auditor attestation requirements in the assessment of our internal control over financial reporting pursuant to Section 404 of the Sarbanes-Oxley Act of 2002 (the “Sarbanes-Oxley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only two years of audited financial statements in addition to any required unaudited interim financial statements and correspondingly reduced “Management’s Discussion and Analysis of Financial Condition and Results of Operations”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disclosure obligations regarding executive compensation;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exemptions from the requirements of holding a nonbinding advisory vote on executive compensation and shareholder approval of any golden parachute payments not previously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We cannot predict if investors will find our common stock less attractive because we may rely on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exemptions. If some investors find our common stock less attractive as a result, there may be a less active trading market for our common stock and our share price may be more volatile.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management is required to devote substantial time to new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to implement provisions of the Sarbanes-Oxley Act, impose significant requirements, including requiring establishment and maintenance of effective disclosure and financial reporting controls and changes in corporate governance practices. There are significant corporate governance and executive compensation related provisions in the Dodd-Frank Wall Street Reform and Consumer Protection Act that require the SEC to adopt additional rules and regulations in these areas such as “say on pay” and proxy access. Recent legislation permits emerging growth companies to implement many of these requirements over a longer period.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rules and regulations applicable to public companies have substantially increased, and will continue to increase our legal and financial compliance costs and make some activities more time-consuming and costly. If these requirements divert the attention of our management and personnel from other business concerns, they could have an adverse effect on our business. These increased costs will continue to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as a public company, and we may be required to incur substantial costs to maintain the same or similar coverage. We cannot predict or estimate the amount or timing of additional costs we may incur as a public company. The impact of these requirements could also make it more difficult for us to attract and retain qualified persons to serve on our board of directors, our board committees or as executive officers.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requires an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as long as we are an emerging growth company or a non-accelerated filer, our independent registered public accounting firm will not be required to attest to the effectiveness of our internal controls over financial reporting pursuant to Section 404(b) of the Sarbanes-Oxley Act. An independent assessment of the effectiveness of our internal controls over financial reporting could detect problems that our management’s assessment might not. Undetected material weaknesses in our internal controls over financial reporting could severely inhibit our ability to accurately report our financial condition and results of operations and could lead to restatements of our financial statements and require us to incur the expense of remediation.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Accordingly,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 carryforwards and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approximately $56.5 million of federal net operating losses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$2.1 million of state NOLs. Of the state NOLs, some are of indefinite life, but most expire at various dates, beginning in 2040. As of December 31, 2025, we had approximately $7.6 million of federal research and development tax credit carryforwards. Federal tax credit carryforwards expire at various dates, beginning in 2045. As of December 31, 2025, we had approximately $1.0 million of state research and development tax credit carryforwards, which carry forward indefinitely.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certain other pre-change tax attributes (including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in the future.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 could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trial and product liability lawsuits against us could divert our resources and could cause us to incur substantial liabilities and to limit commercialization of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such products. If we cannot successfully defend ourselves against claims that our product candidates or products caused injuries, we will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 candidates or products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any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currently hold clinical trial liability insurance, we will need to obtain and maintain additional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become involved in litigation that could divert management’s attention and harm our business, and insurance coverage may not be sufficient to cover all costs and damages.</w:t>
      </w:r>
    </w:p>
    <w:p>
      <w:pPr>
        <w:pStyle w:val="TextBody"/>
        <w:bidi w:val="0"/>
        <w:spacing w:before="120" w:after="283"/>
        <w:jc w:val="left"/>
        <w:rPr>
          <w:rFonts w:ascii="Times New Roman" w:hAnsi="Times New Roman"/>
          <w:color w:val="000000"/>
          <w:sz w:val="20"/>
        </w:rPr>
      </w:pPr>
      <w:bookmarkStart w:id="15" w:name="toc107928_5"/>
      <w:bookmarkEnd w:id="15"/>
      <w:r>
        <w:rPr>
          <w:rFonts w:ascii="Times New Roman" w:hAnsi="Times New Roman"/>
          <w:color w:val="000000"/>
          <w:sz w:val="20"/>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Unregistered Sale of Securities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 Set forth below is information regarding securities we have issued within the past three years that were not registered under the Securities Act.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Issuances of Capital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June 2024 through August 2025, we sold an aggregate of 17,256,508 shares of Series A redeemable convertible preferred stock to accredited investors. 15,711,932 were sold at a purchase price of $19.42 per share, for an aggregate purchase price of approximately $305.2 million while 1,544,576 shares were issued as consideration in connection with certain license agreements at the estimated fair value of $19.10 per share as of issuance date for a total estimated fair value of $29.5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September 2025 through March 2026, we sold an aggregate of 8,950,199 shares of Series B redeemable convertible preferred stock to accredited investors at a purchase price of $21.37 per share, for an aggregate purchase price of approximately $191.2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September 2025 through October 2025, we sold an aggregate of 3,780,769 shares of Series B-1 redeemable convertible preferred stock to accredited investors at a purchase price of $21.37 per share, for an aggregate purchase price of approximately $80.8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Grants and Exercises of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August, 2023, we have granted to certain of our directors, employees and consultants options to purchase 29,525,329 shares of our common stock at exercise prices ranging from $1.35 to $9.42 per share under the 2023 Plan. Since August 2023, 2,542,452 common stock have been issued upon the exercise of stock options pursuant to the 2023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On June 17, 2026, our Registration Statement on Form S</w:t>
        <w:noBreakHyphen/>
        <w:t>1, as amended (File No. 333</w:t>
        <w:noBreakHyphen/>
        <w:t>287125), was declared effective by the Securities and Exchange Commission in connection with our initial public offering. Pursuant to the Registration Statement, we sold an aggregate of 28,750,000 shares of our common stock, including the full exercise by the underwriters of their option to purchase 3,750,000 additional shares, at a public offering price of $16.00 per share. The offering closed on June 22, 2026. J.P. Morgan Securities LLC, Jefferies LLC, Leerink Partners LLC and TD Securities (USA) LLC acted as the underwriters for the offering. The approximate aggregate net proceeds from the initial public offering were $422.4 million, after deducting underwriting discounts and commissions and other offering expenses. The offering terminated upon the sale of all securities registered pursuant to the Registration Statement. No payments for such expenses were made directly or indirectly to (i) any of our directors or executive officers or their associates, (ii) any persons owning 10% or more of any class of our equity securities, or (iii) any of our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our initial public offering as described in the final prospectus filed with the SEC pursuant to Rule 424(b)(4) under the Securities Act on June 18, 2026.</w:t>
      </w:r>
    </w:p>
    <w:p>
      <w:pPr>
        <w:pStyle w:val="TextBody"/>
        <w:bidi w:val="0"/>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None.</w:t>
      </w:r>
    </w:p>
    <w:p>
      <w:pPr>
        <w:pStyle w:val="TextBody"/>
        <w:bidi w:val="0"/>
        <w:spacing w:before="36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quarterly period covered by this report, no director or officer (as defined in Rule 16a-1(f) under the Exchange Act) has adopted, modified, or terminated a “Rule 10b5-1 trading arrangement” or “non-Rule 10b5-1 trading arrangement,” as each term is defined in Item 408(a) of Regulation S-K.</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by and between the Registrant and Prolaio, Inc., dated as of February 24, 2025, as amended on May 1, 2026 (incorporated herein by reference to Exhibit 2.1 to the Registrant's Registration Statement on Form S-1/A filed on June 11,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by and among the Registrant, RSF Merger Sub, Inc., Rancho Santa Fe Bio, Inc. and Shareholder Representative Services LLC, as the Representative, dated as of March 11, 2024 (incorporated herein by reference to Exhibit 2.2 to the Registrant's Registration Statement on Form S-1/A filed on June 11,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Third Amended and Restated Certificate of Incorporation (incorporated herein by reference to Exhibit 3.1 to the Registrant's Current Report on Form 8-K filed on June 23,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(incorporated herein by reference to Exhibit 3.2 to the Registrant's Current Report on Form 8-K filed on June 23,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Specimen Common Stock Certificate (incorporated herein by reference to Exhibit 4.1 to the Registrant's Registration Statement on Form S-1/A filed on June 11,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Warrant to Purchase Shares of Common Stock, by and between the Registrant and ARCH Venture Fund XIII, L.P., dated as of September 4, 2025 (incorporated herein by reference to Exhibit 4.2 to the Registrant's Registration Statement on Form S-1 filed on May 26,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Warrant to Purchase Shares of Common Stock, by and between the Registrant and SCHF (M) PV, L.P., dated as of September 4, 2025 (incorporated herein by reference to Exhibit 4.3 to the Registrant's Registration Statement on Form S-1 filed on May 26,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Investors’ Rights Agreement, by and between the Registrant and certain of its stockholders, dated as of September 4, 2025 (incorporated herein by reference to Exhibit 4.4 to the Registrant's Registration Statement on Form S-1 filed on May 26,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Kardigan, Inc. 2026 Stock Option and Incentive Plan and form of award agreements thereunder (incorporated herein by reference to Exhibit 10.2 to the Registrant's Registration Statement on Form S-1/A filed on June 11,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Kardigan, Inc. 2026 Employee Stock Purchase Plan (incorporated herein by reference to Exhibit 10.3 to the Registrant's Registration Statement on Form S-1/A filed on June 11,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Indemnification Agreement, by and between the Registrant and its directors and executive officers (incorporated herein by reference to Exhibit 10.4 to the Registrant's Registration Statement on Form S-1 filed on May 26, 2026)</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
        <w:gridCol w:w="146"/>
        <w:gridCol w:w="9401"/>
      </w:tblGrid>
      <w:tr>
        <w:trPr/>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1" w:type="dxa"/>
            <w:tcBorders/>
            <w:vAlign w:val="center"/>
          </w:tcPr>
          <w:p>
            <w:pPr>
              <w:pStyle w:val="TableContents"/>
              <w:bidi w:val="0"/>
              <w:spacing w:before="0" w:after="283"/>
              <w:jc w:val="left"/>
              <w:rPr>
                <w:sz w:val="4"/>
                <w:szCs w:val="4"/>
              </w:rPr>
            </w:pPr>
            <w:r>
              <w:rPr>
                <w:sz w:val="4"/>
                <w:szCs w:val="4"/>
              </w:rPr>
            </w:r>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Senior Executive Cash Incentive Bonus Plan (incorporated herein by reference to Exhibit 10.5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Non-Employee Director Compensation Policy (incorporated herein by reference to Exhibit 10.6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Executive Employment Agreement (incorporated herein by reference to Exhibit 10.7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Bonus Agreement, by and between the Registrant and Tassos Gianakakos dated as of February 24, 2025, as amended by the Bonus Integration Agreement, by and between the Registrant and Tassos Gianakakos, dated September 4, 2025 (incorporated herein by reference to Exhibit 10.8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Bonus Agreement, by and between the Registrant and Jay Edelberg dated as of February 24, 2025, as amended by the Bonus Integration Agreement, by and between the Registrant and Jay Edelberg, dated September 4, 2025 (incorporated herein by reference to Exhibit 10.9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License Agreement, by and between the Registrant and MyoKardia, Inc., dated as of November 4, 2024 (incorporated herein by reference to Exhibit 10.10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License Agreement, by and between the Registrant and Bristol-Myers Squibb Company, dated as of November 4, 2024 (incorporated herein by reference to Exhibit 10.11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License Agreement, between Registrant and Ionis Pharmaceuticals, Inc., effective as of June 7, 2024 (incorporated herein by reference to Exhibit 10.12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License Agreement between Rancho Santa Fe Bio, Inc. and Sanofi, dated June 2, 2021, as amended March 18, 2022, January 9, 2023, and November 7, 2025 (incorporated herein by reference to Exhibit 10.13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Patent License Agreement between Rancho Santa Fe Bio, Inc. and Mayo Foundation for Medical Education and Research, dated December 6, 2019, as amended on May 20, 2021, August 23, 2023, March 10, 2024, June 6, 2024, and December 22, 2025 (incorporated herein by reference to Exhibit 10.14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Agreement and Plan of Merger, by and between the Registrant and Prolaio, Inc., dated as of February 24, 2025, as amended on May 1, 2026 (incorporated herein by reference to Exhibit 10.15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The Cove Lease, by and between the Registrant and HCP Oyster Point III, LLC, dated September 17, 2024 (incorporated herein by reference to Exhibit 10.17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Lease and Lease Agreement by and between Carnegie 506 Associates and the Registrant, dated February 18, 2025 (incorporated herein by reference to Exhibit 10.18 to the Registrant's Registration Statement on Form S-1 filed on May 26, 2026)</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23613-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23613-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23613-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2123613-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jc w:val="left"/>
        <w:rPr>
          <w:rFonts w:ascii="Times New Roman" w:hAnsi="Times New Roman"/>
          <w:color w:val="000000"/>
          <w:sz w:val="20"/>
        </w:rPr>
      </w:pPr>
      <w:r>
        <w:rPr>
          <w:rFonts w:ascii="Times New Roman" w:hAnsi="Times New Roman"/>
          <w:color w:val="000000"/>
          <w:sz w:val="20"/>
        </w:rPr>
        <w:t> Certain portions of this document that constitute confidential information have been redacted pursuant to Item 601(b)(10) of Regulation S-K.</w:t>
      </w:r>
    </w:p>
    <w:p>
      <w:pPr>
        <w:pStyle w:val="TextBody"/>
        <w:bidi w:val="0"/>
        <w:jc w:val="left"/>
        <w:rPr>
          <w:rFonts w:ascii="Times New Roman" w:hAnsi="Times New Roman"/>
          <w:color w:val="000000"/>
          <w:sz w:val="20"/>
        </w:rPr>
      </w:pPr>
      <w:r>
        <w:rPr>
          <w:rFonts w:ascii="Times New Roman" w:hAnsi="Times New Roman"/>
          <w:color w:val="000000"/>
          <w:sz w:val="20"/>
        </w:rPr>
        <w:t>+ Certain exhibits and schedules to these agreements have been omitted pursuant to Item 601(a)(5) and (6) of Regulation S-K. The registrant will furnish copies of any of the exhibits and schedules to the Securities and Exchange Commission upon request.</w:t>
      </w:r>
    </w:p>
    <w:p>
      <w:pPr>
        <w:pStyle w:val="TextBody"/>
        <w:bidi w:val="0"/>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68" w:type="dxa"/>
        <w:jc w:val="left"/>
        <w:tblInd w:w="0" w:type="dxa"/>
        <w:tblLayout w:type="fixed"/>
        <w:tblCellMar>
          <w:top w:w="28" w:type="dxa"/>
          <w:left w:w="28" w:type="dxa"/>
          <w:bottom w:w="28" w:type="dxa"/>
          <w:right w:w="28" w:type="dxa"/>
        </w:tblCellMar>
      </w:tblPr>
      <w:tblGrid>
        <w:gridCol w:w="1951"/>
        <w:gridCol w:w="406"/>
        <w:gridCol w:w="53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Kardigan,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Tassos Gianakakos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Tassos Gianakakos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Director, and Chair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Brianne Puglisi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Brianne Puglisi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ck0002123613-ex31_1.htm"/>
      <w:bookmarkStart w:id="23" w:name="ksck0002123613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Tassos Gianakakos,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Kardigan,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09" w:type="dxa"/>
        <w:jc w:val="left"/>
        <w:tblInd w:w="0" w:type="dxa"/>
        <w:tblLayout w:type="fixed"/>
        <w:tblCellMar>
          <w:top w:w="28" w:type="dxa"/>
          <w:left w:w="28" w:type="dxa"/>
          <w:bottom w:w="28" w:type="dxa"/>
          <w:right w:w="28" w:type="dxa"/>
        </w:tblCellMar>
      </w:tblPr>
      <w:tblGrid>
        <w:gridCol w:w="1951"/>
        <w:gridCol w:w="146"/>
        <w:gridCol w:w="406"/>
        <w:gridCol w:w="370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Tassos Gianakakos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Tassos Gianakakos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Director, and Chair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ck0002123613-ex31_2.htm"/>
      <w:bookmarkStart w:id="25" w:name="ksck0002123613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Brianne Puglisi,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Kardigan,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(Paragraph omitted pursuant to SEC Release Nos. 33-8238/34-47986 and 33-8392/34-49313);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14" w:type="dxa"/>
        <w:jc w:val="left"/>
        <w:tblInd w:w="0" w:type="dxa"/>
        <w:tblLayout w:type="fixed"/>
        <w:tblCellMar>
          <w:top w:w="28" w:type="dxa"/>
          <w:left w:w="28" w:type="dxa"/>
          <w:bottom w:w="28" w:type="dxa"/>
          <w:right w:w="28" w:type="dxa"/>
        </w:tblCellMar>
      </w:tblPr>
      <w:tblGrid>
        <w:gridCol w:w="1951"/>
        <w:gridCol w:w="146"/>
        <w:gridCol w:w="40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Brianne Puglisi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Brianne Puglisi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ck0002123613-ex32_1.htm"/>
      <w:bookmarkStart w:id="27" w:name="ksck0002123613ex32_1"/>
      <w:bookmarkEnd w:id="26"/>
      <w:bookmarkEnd w:id="2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Kardigan, Inc. (the “Company”) for the period ending June 30, 2026 as filed with the Securities and Exchange Commission on the date hereof (the “Report”), I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72" w:type="dxa"/>
        <w:jc w:val="left"/>
        <w:tblInd w:w="0" w:type="dxa"/>
        <w:tblLayout w:type="fixed"/>
        <w:tblCellMar>
          <w:top w:w="28" w:type="dxa"/>
          <w:left w:w="28" w:type="dxa"/>
          <w:bottom w:w="28" w:type="dxa"/>
          <w:right w:w="28" w:type="dxa"/>
        </w:tblCellMar>
      </w:tblPr>
      <w:tblGrid>
        <w:gridCol w:w="1951"/>
        <w:gridCol w:w="109"/>
        <w:gridCol w:w="406"/>
        <w:gridCol w:w="370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Tassos Gianakakos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Tassos Gianakakos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Director, and Chair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ck0002123613-ex32_2.htm"/>
      <w:bookmarkStart w:id="29" w:name="ksck0002123613ex32_2"/>
      <w:bookmarkEnd w:id="28"/>
      <w:bookmarkEnd w:id="2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Kardigan, Inc. (the “Company”) for the period ending June 30, 2026 as filed with the Securities and Exchange Commission on the date hereof (the “Report”), I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951"/>
        <w:gridCol w:w="109"/>
        <w:gridCol w:w="40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Brianne Puglisi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Brianne Puglisi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23613/000119312526266629/d107928dex21.htm" TargetMode="External"/><Relationship Id="rId3" Type="http://schemas.openxmlformats.org/officeDocument/2006/relationships/hyperlink" Target="https://www.sec.gov/Archives/edgar/data/2123613/000119312526266629/d107928dex22.htm" TargetMode="External"/><Relationship Id="rId4" Type="http://schemas.openxmlformats.org/officeDocument/2006/relationships/hyperlink" Target="https://www.sec.gov/Archives/edgar/data/2123613/000119312526278429/d114621dex31.htm" TargetMode="External"/><Relationship Id="rId5" Type="http://schemas.openxmlformats.org/officeDocument/2006/relationships/hyperlink" Target="https://www.sec.gov/Archives/edgar/data/2123613/000119312526278429/d114621dex32.htm" TargetMode="External"/><Relationship Id="rId6" Type="http://schemas.openxmlformats.org/officeDocument/2006/relationships/hyperlink" Target="https://www.sec.gov/Archives/edgar/data/2123613/000119312526266629/d107928dex41.htm" TargetMode="External"/><Relationship Id="rId7" Type="http://schemas.openxmlformats.org/officeDocument/2006/relationships/hyperlink" Target="https://www.sec.gov/Archives/edgar/data/2123613/000119312526239298/d107928dex42.htm" TargetMode="External"/><Relationship Id="rId8" Type="http://schemas.openxmlformats.org/officeDocument/2006/relationships/hyperlink" Target="https://www.sec.gov/Archives/edgar/data/2123613/000119312526239298/d107928dex43.htm" TargetMode="External"/><Relationship Id="rId9" Type="http://schemas.openxmlformats.org/officeDocument/2006/relationships/hyperlink" Target="https://www.sec.gov/Archives/edgar/data/2123613/000119312526239298/d107928dex44.htm" TargetMode="External"/><Relationship Id="rId10" Type="http://schemas.openxmlformats.org/officeDocument/2006/relationships/hyperlink" Target="https://www.sec.gov/Archives/edgar/data/2123613/000119312526266629/d107928dex102.htm" TargetMode="External"/><Relationship Id="rId11" Type="http://schemas.openxmlformats.org/officeDocument/2006/relationships/hyperlink" Target="https://www.sec.gov/Archives/edgar/data/2123613/000119312526266629/d107928dex103.htm" TargetMode="External"/><Relationship Id="rId12" Type="http://schemas.openxmlformats.org/officeDocument/2006/relationships/hyperlink" Target="https://www.sec.gov/Archives/edgar/data/2123613/000119312526239298/d107928dex104.htm" TargetMode="External"/><Relationship Id="rId13" Type="http://schemas.openxmlformats.org/officeDocument/2006/relationships/hyperlink" Target="https://www.sec.gov/Archives/edgar/data/2123613/000119312526239298/d107928dex105.htm" TargetMode="External"/><Relationship Id="rId14" Type="http://schemas.openxmlformats.org/officeDocument/2006/relationships/hyperlink" Target="https://www.sec.gov/Archives/edgar/data/2123613/000119312526239298/d107928dex106.htm" TargetMode="External"/><Relationship Id="rId15" Type="http://schemas.openxmlformats.org/officeDocument/2006/relationships/hyperlink" Target="https://www.sec.gov/Archives/edgar/data/2123613/000119312526239298/d107928dex107.htm" TargetMode="External"/><Relationship Id="rId16" Type="http://schemas.openxmlformats.org/officeDocument/2006/relationships/hyperlink" Target="https://www.sec.gov/Archives/edgar/data/2123613/000119312526239298/d107928dex108.htm" TargetMode="External"/><Relationship Id="rId17" Type="http://schemas.openxmlformats.org/officeDocument/2006/relationships/hyperlink" Target="https://www.sec.gov/Archives/edgar/data/2123613/000119312526239298/d107928dex109.htm" TargetMode="External"/><Relationship Id="rId18" Type="http://schemas.openxmlformats.org/officeDocument/2006/relationships/hyperlink" Target="https://www.sec.gov/Archives/edgar/data/2123613/000119312526239298/d107928dex1010.htm" TargetMode="External"/><Relationship Id="rId19" Type="http://schemas.openxmlformats.org/officeDocument/2006/relationships/hyperlink" Target="https://www.sec.gov/Archives/edgar/data/2123613/000119312526239298/d107928dex1011.htm" TargetMode="External"/><Relationship Id="rId20" Type="http://schemas.openxmlformats.org/officeDocument/2006/relationships/hyperlink" Target="https://www.sec.gov/Archives/edgar/data/2123613/000119312526239298/d107928dex1012.htm" TargetMode="External"/><Relationship Id="rId21" Type="http://schemas.openxmlformats.org/officeDocument/2006/relationships/hyperlink" Target="https://www.sec.gov/Archives/edgar/data/2123613/000119312526239298/d107928dex1013.htm" TargetMode="External"/><Relationship Id="rId22" Type="http://schemas.openxmlformats.org/officeDocument/2006/relationships/hyperlink" Target="https://www.sec.gov/Archives/edgar/data/2123613/000119312526239298/d107928dex1014.htm" TargetMode="External"/><Relationship Id="rId23" Type="http://schemas.openxmlformats.org/officeDocument/2006/relationships/hyperlink" Target="https://www.sec.gov/Archives/edgar/data/2123613/000119312526239298/d107928dex1015.htm" TargetMode="External"/><Relationship Id="rId24" Type="http://schemas.openxmlformats.org/officeDocument/2006/relationships/hyperlink" Target="https://www.sec.gov/Archives/edgar/data/2123613/000119312526239298/d107928dex1017.htm" TargetMode="External"/><Relationship Id="rId25" Type="http://schemas.openxmlformats.org/officeDocument/2006/relationships/hyperlink" Target="https://www.sec.gov/Archives/edgar/data/2123613/000119312526239298/d107928dex1018.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99633</Words>
  <Characters>562137</Characters>
  <CharactersWithSpaces>662244</CharactersWithSpaces>
  <Paragraphs>7895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