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HRTG GPE,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5237 HHR RANCH RD, SUITE 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Kardigan,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KARD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20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WILSON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WY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83014</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tcPr>
          <w:p>
            <w:pPr>
              <w:ind w:left="7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76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76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9" w:lineRule="exact"/>
        <w:rPr>
          <w:sz w:val="24"/>
          <w:szCs w:val="24"/>
          <w:color w:val="auto"/>
        </w:rPr>
      </w:pPr>
    </w:p>
    <w:tbl>
      <w:tblPr>
        <w:tblLayout w:type="fixed"/>
        <w:tblInd w:w="20" w:type="dxa"/>
        <w:tblCellMar>
          <w:top w:w="0" w:type="dxa"/>
          <w:left w:w="0" w:type="dxa"/>
          <w:bottom w:w="0" w:type="dxa"/>
          <w:right w:w="0" w:type="dxa"/>
        </w:tblCellMar>
      </w:tblPr>
      <w:tr>
        <w:trPr>
          <w:trHeight w:val="213"/>
        </w:trPr>
        <w:tc>
          <w:tcPr>
            <w:tcW w:w="22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580" w:type="dxa"/>
            <w:vAlign w:val="bottom"/>
            <w:vMerge w:val="restart"/>
          </w:tcPr>
          <w:p>
            <w:pPr>
              <w:jc w:val="right"/>
              <w:ind w:right="633"/>
              <w:spacing w:after="0"/>
              <w:rPr>
                <w:sz w:val="20"/>
                <w:szCs w:val="20"/>
                <w:color w:val="auto"/>
              </w:rPr>
            </w:pPr>
            <w:r>
              <w:rPr>
                <w:rFonts w:ascii="Times New Roman" w:cs="Times New Roman" w:eastAsia="Times New Roman" w:hAnsi="Times New Roman"/>
                <w:sz w:val="17"/>
                <w:szCs w:val="17"/>
                <w:color w:val="0000FF"/>
              </w:rPr>
              <w:t>06/22/2026</w:t>
            </w:r>
          </w:p>
        </w:tc>
        <w:tc>
          <w:tcPr>
            <w:tcW w:w="1140" w:type="dxa"/>
            <w:vAlign w:val="bottom"/>
          </w:tcPr>
          <w:p>
            <w:pPr>
              <w:spacing w:after="0"/>
              <w:rPr>
                <w:sz w:val="18"/>
                <w:szCs w:val="18"/>
                <w:color w:val="auto"/>
              </w:rPr>
            </w:pPr>
          </w:p>
        </w:tc>
        <w:tc>
          <w:tcPr>
            <w:tcW w:w="156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3,125,000   A</w:t>
            </w:r>
          </w:p>
        </w:tc>
        <w:tc>
          <w:tcPr>
            <w:tcW w:w="620" w:type="dxa"/>
            <w:vAlign w:val="bottom"/>
            <w:vMerge w:val="restart"/>
          </w:tcPr>
          <w:p>
            <w:pPr>
              <w:jc w:val="right"/>
              <w:ind w:right="7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w:t>
            </w:r>
          </w:p>
        </w:tc>
        <w:tc>
          <w:tcPr>
            <w:tcW w:w="1260" w:type="dxa"/>
            <w:vAlign w:val="bottom"/>
            <w:vMerge w:val="restart"/>
          </w:tcPr>
          <w:p>
            <w:pPr>
              <w:jc w:val="right"/>
              <w:ind w:right="213"/>
              <w:spacing w:after="0"/>
              <w:rPr>
                <w:sz w:val="20"/>
                <w:szCs w:val="20"/>
                <w:color w:val="auto"/>
              </w:rPr>
            </w:pPr>
            <w:r>
              <w:rPr>
                <w:rFonts w:ascii="Times New Roman" w:cs="Times New Roman" w:eastAsia="Times New Roman" w:hAnsi="Times New Roman"/>
                <w:sz w:val="17"/>
                <w:szCs w:val="17"/>
                <w:color w:val="0000FF"/>
              </w:rPr>
              <w:t>14,866,868</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HRTG</w:t>
            </w:r>
          </w:p>
        </w:tc>
        <w:tc>
          <w:tcPr>
            <w:tcW w:w="0" w:type="dxa"/>
            <w:vAlign w:val="bottom"/>
          </w:tcPr>
          <w:p>
            <w:pPr>
              <w:spacing w:after="0"/>
              <w:rPr>
                <w:sz w:val="1"/>
                <w:szCs w:val="1"/>
                <w:color w:val="auto"/>
              </w:rPr>
            </w:pPr>
          </w:p>
        </w:tc>
      </w:tr>
      <w:tr>
        <w:trPr>
          <w:trHeight w:val="210"/>
        </w:trPr>
        <w:tc>
          <w:tcPr>
            <w:tcW w:w="2220" w:type="dxa"/>
            <w:vAlign w:val="bottom"/>
            <w:vMerge w:val="continue"/>
          </w:tcPr>
          <w:p>
            <w:pPr>
              <w:spacing w:after="0"/>
              <w:rPr>
                <w:sz w:val="18"/>
                <w:szCs w:val="18"/>
                <w:color w:val="auto"/>
              </w:rPr>
            </w:pPr>
          </w:p>
        </w:tc>
        <w:tc>
          <w:tcPr>
            <w:tcW w:w="2580" w:type="dxa"/>
            <w:vAlign w:val="bottom"/>
            <w:vMerge w:val="continue"/>
          </w:tcPr>
          <w:p>
            <w:pPr>
              <w:spacing w:after="0"/>
              <w:rPr>
                <w:sz w:val="18"/>
                <w:szCs w:val="18"/>
                <w:color w:val="auto"/>
              </w:rPr>
            </w:pPr>
          </w:p>
        </w:tc>
        <w:tc>
          <w:tcPr>
            <w:tcW w:w="1140" w:type="dxa"/>
            <w:vAlign w:val="bottom"/>
          </w:tcPr>
          <w:p>
            <w:pPr>
              <w:ind w:left="740"/>
              <w:spacing w:after="0"/>
              <w:rPr>
                <w:sz w:val="20"/>
                <w:szCs w:val="20"/>
                <w:color w:val="auto"/>
              </w:rPr>
            </w:pPr>
            <w:r>
              <w:rPr>
                <w:rFonts w:ascii="Times New Roman" w:cs="Times New Roman" w:eastAsia="Times New Roman" w:hAnsi="Times New Roman"/>
                <w:sz w:val="13"/>
                <w:szCs w:val="13"/>
                <w:color w:val="0000FF"/>
              </w:rPr>
              <w:t>P</w:t>
            </w:r>
          </w:p>
        </w:tc>
        <w:tc>
          <w:tcPr>
            <w:tcW w:w="156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9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PV, L.P.</w:t>
            </w:r>
          </w:p>
        </w:tc>
        <w:tc>
          <w:tcPr>
            <w:tcW w:w="0" w:type="dxa"/>
            <w:vAlign w:val="bottom"/>
          </w:tcPr>
          <w:p>
            <w:pPr>
              <w:spacing w:after="0"/>
              <w:rPr>
                <w:sz w:val="1"/>
                <w:szCs w:val="1"/>
                <w:color w:val="auto"/>
              </w:rPr>
            </w:pPr>
          </w:p>
        </w:tc>
      </w:tr>
      <w:tr>
        <w:trPr>
          <w:trHeight w:val="143"/>
        </w:trPr>
        <w:tc>
          <w:tcPr>
            <w:tcW w:w="22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0" w:type="dxa"/>
            <w:vAlign w:val="bottom"/>
          </w:tcPr>
          <w:p>
            <w:pPr>
              <w:spacing w:after="0"/>
              <w:rPr>
                <w:sz w:val="1"/>
                <w:szCs w:val="1"/>
                <w:color w:val="auto"/>
              </w:rPr>
            </w:pPr>
          </w:p>
        </w:tc>
      </w:tr>
      <w:tr>
        <w:trPr>
          <w:trHeight w:val="81"/>
        </w:trPr>
        <w:tc>
          <w:tcPr>
            <w:tcW w:w="222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22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HRTG</w:t>
            </w:r>
          </w:p>
        </w:tc>
        <w:tc>
          <w:tcPr>
            <w:tcW w:w="0" w:type="dxa"/>
            <w:vAlign w:val="bottom"/>
          </w:tcPr>
          <w:p>
            <w:pPr>
              <w:spacing w:after="0"/>
              <w:rPr>
                <w:sz w:val="1"/>
                <w:szCs w:val="1"/>
                <w:color w:val="auto"/>
              </w:rPr>
            </w:pPr>
          </w:p>
        </w:tc>
      </w:tr>
      <w:tr>
        <w:trPr>
          <w:trHeight w:val="213"/>
        </w:trPr>
        <w:tc>
          <w:tcPr>
            <w:tcW w:w="22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vMerge w:val="restart"/>
          </w:tcPr>
          <w:p>
            <w:pPr>
              <w:jc w:val="right"/>
              <w:ind w:right="253"/>
              <w:spacing w:after="0"/>
              <w:rPr>
                <w:sz w:val="20"/>
                <w:szCs w:val="20"/>
                <w:color w:val="auto"/>
              </w:rPr>
            </w:pPr>
            <w:r>
              <w:rPr>
                <w:rFonts w:ascii="Times New Roman" w:cs="Times New Roman" w:eastAsia="Times New Roman" w:hAnsi="Times New Roman"/>
                <w:sz w:val="17"/>
                <w:szCs w:val="17"/>
                <w:color w:val="0000FF"/>
              </w:rPr>
              <w:t>2,050,166</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CIF</w:t>
            </w:r>
          </w:p>
        </w:tc>
        <w:tc>
          <w:tcPr>
            <w:tcW w:w="0" w:type="dxa"/>
            <w:vAlign w:val="bottom"/>
          </w:tcPr>
          <w:p>
            <w:pPr>
              <w:spacing w:after="0"/>
              <w:rPr>
                <w:sz w:val="1"/>
                <w:szCs w:val="1"/>
                <w:color w:val="auto"/>
              </w:rPr>
            </w:pPr>
          </w:p>
        </w:tc>
      </w:tr>
      <w:tr>
        <w:trPr>
          <w:trHeight w:val="120"/>
        </w:trPr>
        <w:tc>
          <w:tcPr>
            <w:tcW w:w="2220" w:type="dxa"/>
            <w:vAlign w:val="bottom"/>
            <w:vMerge w:val="continue"/>
          </w:tcPr>
          <w:p>
            <w:pPr>
              <w:spacing w:after="0"/>
              <w:rPr>
                <w:sz w:val="10"/>
                <w:szCs w:val="10"/>
                <w:color w:val="auto"/>
              </w:rPr>
            </w:pPr>
          </w:p>
        </w:tc>
        <w:tc>
          <w:tcPr>
            <w:tcW w:w="25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2024,</w:t>
            </w:r>
          </w:p>
        </w:tc>
        <w:tc>
          <w:tcPr>
            <w:tcW w:w="0" w:type="dxa"/>
            <w:vAlign w:val="bottom"/>
          </w:tcPr>
          <w:p>
            <w:pPr>
              <w:spacing w:after="0"/>
              <w:rPr>
                <w:sz w:val="1"/>
                <w:szCs w:val="1"/>
                <w:color w:val="auto"/>
              </w:rPr>
            </w:pPr>
          </w:p>
        </w:tc>
      </w:tr>
      <w:tr>
        <w:trPr>
          <w:trHeight w:val="107"/>
        </w:trPr>
        <w:tc>
          <w:tcPr>
            <w:tcW w:w="22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(1)</w:t>
      </w:r>
    </w:p>
    <w:p>
      <w:pPr>
        <w:spacing w:after="0" w:line="107"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2"/>
                <w:szCs w:val="12"/>
                <w:color w:val="auto"/>
              </w:rPr>
            </w:pP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gridSpan w:val="2"/>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HRTG GPE, LLC</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5237 HHR RANCH RD, SUITE 2</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69"/>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7"/>
                <w:szCs w:val="17"/>
                <w:color w:val="0000FF"/>
                <w:w w:val="99"/>
              </w:rPr>
              <w:t>WILSON</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WY</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83014</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gridSpan w:val="2"/>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HRTG PV, L.P.</w:t>
              </w:r>
            </w:hyperlink>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HRTG GPE, LLC</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5237 HHR RANCH RD, SUITE 2</w:t>
      </w:r>
    </w:p>
    <w:p>
      <w:pPr>
        <w:spacing w:after="0" w:line="29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p>
      <w:pPr>
        <w:spacing w:after="0" w:line="35" w:lineRule="exact"/>
        <w:rPr>
          <w:sz w:val="20"/>
          <w:szCs w:val="20"/>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WILSON</w:t>
      </w:r>
      <w:r>
        <w:rPr>
          <w:sz w:val="20"/>
          <w:szCs w:val="20"/>
          <w:color w:val="auto"/>
        </w:rPr>
        <w:tab/>
      </w:r>
      <w:r>
        <w:rPr>
          <w:rFonts w:ascii="Times New Roman" w:cs="Times New Roman" w:eastAsia="Times New Roman" w:hAnsi="Times New Roman"/>
          <w:sz w:val="17"/>
          <w:szCs w:val="17"/>
          <w:color w:val="0000FF"/>
        </w:rPr>
        <w:t>WY</w:t>
      </w:r>
      <w:r>
        <w:rPr>
          <w:sz w:val="20"/>
          <w:szCs w:val="20"/>
          <w:color w:val="auto"/>
        </w:rPr>
        <w:tab/>
      </w:r>
      <w:r>
        <w:rPr>
          <w:rFonts w:ascii="Times New Roman" w:cs="Times New Roman" w:eastAsia="Times New Roman" w:hAnsi="Times New Roman"/>
          <w:sz w:val="17"/>
          <w:szCs w:val="17"/>
          <w:color w:val="0000FF"/>
        </w:rPr>
        <w:t>83014</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620" w:type="dxa"/>
            <w:vAlign w:val="bottom"/>
            <w:gridSpan w:val="4"/>
          </w:tcPr>
          <w:p>
            <w:pPr>
              <w:ind w:left="3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5"/>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HRTG CIF 2024,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(Last)</w:t>
            </w:r>
          </w:p>
        </w:tc>
        <w:tc>
          <w:tcPr>
            <w:tcW w:w="1620" w:type="dxa"/>
            <w:vAlign w:val="bottom"/>
            <w:gridSpan w:val="4"/>
          </w:tcPr>
          <w:p>
            <w:pPr>
              <w:ind w:left="3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HRTG GPE, LLC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5237 HHR RANCH RD, SUITE 2</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1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WILSON</w:t>
            </w:r>
          </w:p>
        </w:tc>
        <w:tc>
          <w:tcPr>
            <w:tcW w:w="1620" w:type="dxa"/>
            <w:vAlign w:val="bottom"/>
            <w:gridSpan w:val="4"/>
          </w:tcPr>
          <w:p>
            <w:pPr>
              <w:ind w:left="360"/>
              <w:spacing w:after="0"/>
              <w:rPr>
                <w:sz w:val="20"/>
                <w:szCs w:val="20"/>
                <w:color w:val="auto"/>
              </w:rPr>
            </w:pPr>
            <w:r>
              <w:rPr>
                <w:rFonts w:ascii="Times New Roman" w:cs="Times New Roman" w:eastAsia="Times New Roman" w:hAnsi="Times New Roman"/>
                <w:sz w:val="17"/>
                <w:szCs w:val="17"/>
                <w:color w:val="0000FF"/>
              </w:rPr>
              <w:t>WY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83014</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620" w:type="dxa"/>
            <w:vAlign w:val="bottom"/>
            <w:gridSpan w:val="4"/>
          </w:tcPr>
          <w:p>
            <w:pPr>
              <w:ind w:left="3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5"/>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Kelly Kevin Anthony</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(Last)</w:t>
            </w:r>
          </w:p>
        </w:tc>
        <w:tc>
          <w:tcPr>
            <w:tcW w:w="1620" w:type="dxa"/>
            <w:vAlign w:val="bottom"/>
            <w:gridSpan w:val="4"/>
          </w:tcPr>
          <w:p>
            <w:pPr>
              <w:ind w:left="3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HRTG GPE, LLC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5237 HHR RANCH RD, SUITE 2</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1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WILSON</w:t>
            </w:r>
          </w:p>
        </w:tc>
        <w:tc>
          <w:tcPr>
            <w:tcW w:w="1620" w:type="dxa"/>
            <w:vAlign w:val="bottom"/>
            <w:gridSpan w:val="4"/>
          </w:tcPr>
          <w:p>
            <w:pPr>
              <w:ind w:left="360"/>
              <w:spacing w:after="0"/>
              <w:rPr>
                <w:sz w:val="20"/>
                <w:szCs w:val="20"/>
                <w:color w:val="auto"/>
              </w:rPr>
            </w:pPr>
            <w:r>
              <w:rPr>
                <w:rFonts w:ascii="Times New Roman" w:cs="Times New Roman" w:eastAsia="Times New Roman" w:hAnsi="Times New Roman"/>
                <w:sz w:val="17"/>
                <w:szCs w:val="17"/>
                <w:color w:val="0000FF"/>
              </w:rPr>
              <w:t>WY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83014</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620" w:type="dxa"/>
            <w:vAlign w:val="bottom"/>
            <w:gridSpan w:val="4"/>
          </w:tcPr>
          <w:p>
            <w:pPr>
              <w:ind w:left="3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5"/>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Johnson Keith Bryon</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(Last)</w:t>
            </w:r>
          </w:p>
        </w:tc>
        <w:tc>
          <w:tcPr>
            <w:tcW w:w="1620" w:type="dxa"/>
            <w:vAlign w:val="bottom"/>
            <w:gridSpan w:val="4"/>
          </w:tcPr>
          <w:p>
            <w:pPr>
              <w:ind w:left="3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HRTG GPE, LLC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5237 HHR RANCH RD, SUITE 2</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1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WILSON</w:t>
            </w:r>
          </w:p>
        </w:tc>
        <w:tc>
          <w:tcPr>
            <w:tcW w:w="1620" w:type="dxa"/>
            <w:vAlign w:val="bottom"/>
            <w:gridSpan w:val="4"/>
          </w:tcPr>
          <w:p>
            <w:pPr>
              <w:ind w:left="360"/>
              <w:spacing w:after="0"/>
              <w:rPr>
                <w:sz w:val="20"/>
                <w:szCs w:val="20"/>
                <w:color w:val="auto"/>
              </w:rPr>
            </w:pPr>
            <w:r>
              <w:rPr>
                <w:rFonts w:ascii="Times New Roman" w:cs="Times New Roman" w:eastAsia="Times New Roman" w:hAnsi="Times New Roman"/>
                <w:sz w:val="17"/>
                <w:szCs w:val="17"/>
                <w:color w:val="0000FF"/>
              </w:rPr>
              <w:t>WY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83014</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620" w:type="dxa"/>
            <w:vAlign w:val="bottom"/>
            <w:gridSpan w:val="4"/>
          </w:tcPr>
          <w:p>
            <w:pPr>
              <w:ind w:left="3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56483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2809240" cy="564832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HRTG GPE, LLC ("HRTG") is the general partner of each of HRTG PV, L.P. and HRTG CIF 2024, L.P. Keith Johnson and Kevin Kelly each serve as a Managing Member of HRTG. Each of HRTG, Mr. Johnson and Mr. Kelly disclaims beneficial ownership of the securities held directly by HRTG PV, L.P. and HRTG CIF 2024, L.P., except to the extent of such person's pecuniary interest therein, if any.</w:t>
      </w:r>
    </w:p>
    <w:p>
      <w:pPr>
        <w:sectPr>
          <w:pgSz w:w="11900" w:h="16838" w:orient="portrait"/>
          <w:cols w:equalWidth="0" w:num="1">
            <w:col w:w="10740"/>
          </w:cols>
          <w:pgMar w:left="480" w:top="300" w:right="679" w:bottom="1440" w:gutter="0" w:footer="0" w:header="0"/>
        </w:sectPr>
      </w:pPr>
    </w:p>
    <w:p>
      <w:pPr>
        <w:spacing w:after="0" w:line="4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HRTG GPE,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36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13601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Kevin Anthony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34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9734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Managing Member of HRTG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58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GPE,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705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HRTG PV, L.P., By: HRTG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071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20713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GPE,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52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0052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By: /s/ Kevin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550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9550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Anthony Kelly,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06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15062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 of HRTG GPE,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00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HRTG CIF 2024,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791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17919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HRTG GPE,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52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By: /s/ Kevin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550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9550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Anthony Kelly,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06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15062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 of HRTG GPE,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00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/s/ Kevin Anthony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712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/s/ Keith Bryon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528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spacing w:after="0" w:line="53"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100"/>
            <w:col w:w="1980"/>
          </w:cols>
          <w:pgMar w:left="480" w:top="300" w:right="67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02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40"/>
      </w:cols>
      <w:pgMar w:left="480" w:top="300" w:right="6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13" Type="http://schemas.openxmlformats.org/officeDocument/2006/relationships/hyperlink" Target="http://www.sec.gov/cgi-bin/browse-edgar?action=getcompany&amp;CIK=0001537455" TargetMode="External"/><Relationship Id="rId14" Type="http://schemas.openxmlformats.org/officeDocument/2006/relationships/hyperlink" Target="http://www.sec.gov/cgi-bin/browse-edgar?action=getcompany&amp;CIK=0002123613" TargetMode="External"/><Relationship Id="rId16" Type="http://schemas.openxmlformats.org/officeDocument/2006/relationships/hyperlink" Target="http://www.sec.gov/cgi-bin/browse-edgar?action=getcompany&amp;CIK=0002116206" TargetMode="External"/><Relationship Id="rId17" Type="http://schemas.openxmlformats.org/officeDocument/2006/relationships/hyperlink" Target="http://www.sec.gov/cgi-bin/browse-edgar?action=getcompany&amp;CIK=0002009565" TargetMode="External"/><Relationship Id="rId18" Type="http://schemas.openxmlformats.org/officeDocument/2006/relationships/hyperlink" Target="http://www.sec.gov/cgi-bin/browse-edgar?action=getcompany&amp;CIK=0002139540" TargetMode="External"/><Relationship Id="rId19" Type="http://schemas.openxmlformats.org/officeDocument/2006/relationships/hyperlink" Target="http://www.sec.gov/cgi-bin/browse-edgar?action=getcompany&amp;CIK=00021162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2026-06-24T20:28:06Z</dcterms:created>
  <dcterms:modified xsi:type="dcterms:W3CDTF">2026-06-24T20:28:06Z</dcterms:modified>
</cp:coreProperties>
</file>