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Kardigan,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06/22/2026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HRTG PV, L.P. ("HRTG PV")</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tabs>
          <w:tab w:leader="none" w:pos="138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1"/>
          <w:szCs w:val="21"/>
          <w:color w:val="auto"/>
        </w:rPr>
        <w:t>Sole Voting Power</w:t>
      </w:r>
    </w:p>
    <w:p>
      <w:pPr>
        <w:spacing w:after="0" w:line="181" w:lineRule="auto"/>
        <w:tabs>
          <w:tab w:leader="none" w:pos="1140" w:val="left"/>
        </w:tabs>
        <w:rPr>
          <w:sz w:val="20"/>
          <w:szCs w:val="20"/>
          <w:color w:val="auto"/>
        </w:rPr>
      </w:pPr>
      <w:r>
        <w:rPr>
          <w:rFonts w:ascii="Times New Roman" w:cs="Times New Roman" w:eastAsia="Times New Roman" w:hAnsi="Times New Roman"/>
          <w:sz w:val="16"/>
          <w:szCs w:val="16"/>
          <w:color w:val="auto"/>
        </w:rPr>
        <w:t>Shares</w:t>
      </w:r>
      <w:r>
        <w:rPr>
          <w:sz w:val="20"/>
          <w:szCs w:val="20"/>
          <w:color w:val="auto"/>
        </w:rPr>
        <w:tab/>
      </w:r>
      <w:r>
        <w:rPr>
          <w:rFonts w:ascii="Times New Roman" w:cs="Times New Roman" w:eastAsia="Times New Roman" w:hAnsi="Times New Roman"/>
          <w:sz w:val="28"/>
          <w:szCs w:val="28"/>
          <w:color w:val="auto"/>
          <w:vertAlign w:val="subscript"/>
        </w:rPr>
        <w:t>5</w:t>
      </w:r>
    </w:p>
    <w:p>
      <w:pPr>
        <w:spacing w:after="0" w:line="184" w:lineRule="auto"/>
        <w:tabs>
          <w:tab w:leader="none" w:pos="1380" w:val="left"/>
        </w:tabs>
        <w:rPr>
          <w:sz w:val="20"/>
          <w:szCs w:val="20"/>
          <w:color w:val="auto"/>
        </w:rPr>
      </w:pPr>
      <w:r>
        <w:rPr>
          <w:rFonts w:ascii="Times New Roman" w:cs="Times New Roman" w:eastAsia="Times New Roman" w:hAnsi="Times New Roman"/>
          <w:sz w:val="18"/>
          <w:szCs w:val="18"/>
          <w:color w:val="auto"/>
        </w:rPr>
        <w:t>Beneficially</w:t>
      </w:r>
      <w:r>
        <w:rPr>
          <w:sz w:val="20"/>
          <w:szCs w:val="20"/>
          <w:color w:val="auto"/>
        </w:rPr>
        <w:tab/>
      </w:r>
      <w:r>
        <w:rPr>
          <w:rFonts w:ascii="Times New Roman" w:cs="Times New Roman" w:eastAsia="Times New Roman" w:hAnsi="Times New Roman"/>
          <w:sz w:val="34"/>
          <w:szCs w:val="34"/>
          <w:color w:val="auto"/>
          <w:vertAlign w:val="subscript"/>
        </w:rPr>
        <w:t>0.00</w:t>
      </w:r>
    </w:p>
    <w:p>
      <w:pPr>
        <w:sectPr>
          <w:pgSz w:w="11900" w:h="16838" w:orient="portrait"/>
          <w:cols w:equalWidth="0" w:num="1">
            <w:col w:w="10099"/>
          </w:cols>
          <w:pgMar w:left="360" w:top="866" w:right="1440" w:bottom="0" w:gutter="0" w:footer="0" w:header="0"/>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14,866,868.00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14,866,868.00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14,866,868.00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16.0 %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PN</w:t>
      </w:r>
    </w:p>
    <w:p>
      <w:pPr>
        <w:spacing w:after="0" w:line="246"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Row 6, 8 and 9. Excludes shares of Common Stock issuable upon the exercise of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warrant to purchase up to 876,040 shares of Common Stock (the "Warrant"). The Warrant is exercisable on a cashless basis with an exercise price of $13.42 per share. The exercise period commences upon the first date the Company achieves a valuation of $5,000,000,000. Row 11. Based on a total of 93,089,121 shares of Common Stock outstanding as of June 22, 2026, as reported by the Issuer in its prospectus filed pursuant to Rule 424(b)(4) with the Securities and Exchange Commission on June 18, 2026, assuming the underwriters' exercise of their over-allotment option.</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HRTG CIF 2024, L.P. ("HRTG CIF 2024")</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DELAWARE</w:t>
      </w:r>
    </w:p>
    <w:p>
      <w:pPr>
        <w:spacing w:after="0" w:line="61"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120" w:type="dxa"/>
            <w:vAlign w:val="bottom"/>
          </w:tcPr>
          <w:p>
            <w:pPr>
              <w:spacing w:after="0"/>
              <w:rPr>
                <w:sz w:val="24"/>
                <w:szCs w:val="24"/>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11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2,050,166.00</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2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6"/>
                <w:szCs w:val="16"/>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6"/>
                <w:szCs w:val="16"/>
                <w:color w:val="auto"/>
              </w:rPr>
            </w:pP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16"/>
        </w:trPr>
        <w:tc>
          <w:tcPr>
            <w:tcW w:w="11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With:</w:t>
            </w:r>
          </w:p>
        </w:tc>
        <w:tc>
          <w:tcPr>
            <w:tcW w:w="220" w:type="dxa"/>
            <w:vAlign w:val="bottom"/>
          </w:tcPr>
          <w:p>
            <w:pPr>
              <w:spacing w:after="0"/>
              <w:rPr>
                <w:sz w:val="18"/>
                <w:szCs w:val="18"/>
                <w:color w:val="auto"/>
              </w:rPr>
            </w:pPr>
          </w:p>
        </w:tc>
        <w:tc>
          <w:tcPr>
            <w:tcW w:w="2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11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2,050,166.00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Aggregate Amount Beneficially Owned by Each Reporting Person</w:t>
      </w:r>
    </w:p>
    <w:p>
      <w:pPr>
        <w:sectPr>
          <w:pgSz w:w="11900" w:h="16838" w:orient="portrait"/>
          <w:cols w:equalWidth="0" w:num="1">
            <w:col w:w="11100"/>
          </w:cols>
          <w:pgMar w:left="320" w:top="102" w:right="479" w:bottom="0" w:gutter="0" w:footer="0" w:header="0"/>
        </w:sectPr>
      </w:pPr>
    </w:p>
    <w:bookmarkStart w:id="2" w:name="page3"/>
    <w:bookmarkEnd w:id="2"/>
    <w:p>
      <w:pPr>
        <w:ind w:left="1160"/>
        <w:spacing w:after="0"/>
        <w:rPr>
          <w:sz w:val="20"/>
          <w:szCs w:val="20"/>
          <w:color w:val="auto"/>
        </w:rPr>
      </w:pPr>
      <w:r>
        <w:rPr>
          <w:rFonts w:ascii="Times New Roman" w:cs="Times New Roman" w:eastAsia="Times New Roman" w:hAnsi="Times New Roman"/>
          <w:sz w:val="22"/>
          <w:szCs w:val="22"/>
          <w:color w:val="auto"/>
        </w:rPr>
        <w:t>2,050,166.00</w:t>
      </w:r>
    </w:p>
    <w:p>
      <w:pPr>
        <w:spacing w:after="0" w:line="3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2.2 %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PN</w:t>
      </w:r>
    </w:p>
    <w:p>
      <w:pPr>
        <w:spacing w:after="0" w:line="246" w:lineRule="exact"/>
        <w:rPr>
          <w:sz w:val="20"/>
          <w:szCs w:val="20"/>
          <w:color w:val="auto"/>
        </w:rPr>
      </w:pPr>
    </w:p>
    <w:p>
      <w:pPr>
        <w:ind w:right="140"/>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Row 11. Based on a total of 93,089,121 shares of Common Stock outstanding as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June 22, 2026, as reported by the Issuer in its prospectus filed pursuant to Rule 424(b)(4) with the Securities and Exchange Commission on June 18, 2026, assuming the underwriters' exercise of their over-allotment option.</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HRTG GPE, LLC ("HRTG")</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6"/>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180"/>
          </w:cols>
          <w:pgMar w:left="320" w:top="111" w:right="39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16,917,034.00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16,917,034.00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16,917,034.00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18.2 %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100" w:space="60"/>
            <w:col w:w="10020"/>
          </w:cols>
          <w:pgMar w:left="320" w:top="111" w:right="399" w:bottom="0" w:gutter="0" w:footer="0" w:header="0"/>
          <w:type w:val="continuous"/>
        </w:sectPr>
      </w:pPr>
    </w:p>
    <w:p>
      <w:pPr>
        <w:spacing w:after="0" w:line="7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1"/>
          <w:szCs w:val="21"/>
          <w:b w:val="1"/>
          <w:bCs w:val="1"/>
          <w:color w:val="auto"/>
        </w:rPr>
        <w:t xml:space="preserve">Comment for Type of Reporting Person: </w:t>
      </w:r>
      <w:r>
        <w:rPr>
          <w:rFonts w:ascii="Times New Roman" w:cs="Times New Roman" w:eastAsia="Times New Roman" w:hAnsi="Times New Roman"/>
          <w:sz w:val="21"/>
          <w:szCs w:val="21"/>
          <w:color w:val="auto"/>
        </w:rPr>
        <w:t>Row 6, 8 and 9. 14,866,868 shares of Common Stock are directly owned by HRTG</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PV and 2,050,166 shares of Common Stock are directly owned by HRTG CIF 2024. HRTG is the general partner of each of HRTG PV, L.P. and HRTG CIF 2024, L.P. Excludes shares of Common Stock issuable upon the exercise of a warrant to purchase up to 876,040 shares of Common Stock (the "Warrant") directly owned by HRTG PV. The Warrant is exercisable on a cashless</w:t>
      </w:r>
    </w:p>
    <w:p>
      <w:pPr>
        <w:sectPr>
          <w:pgSz w:w="11900" w:h="16838" w:orient="portrait"/>
          <w:cols w:equalWidth="0" w:num="1">
            <w:col w:w="11180"/>
          </w:cols>
          <w:pgMar w:left="320" w:top="111" w:right="399" w:bottom="0" w:gutter="0" w:footer="0" w:header="0"/>
          <w:type w:val="continuous"/>
        </w:sectPr>
      </w:pPr>
    </w:p>
    <w:bookmarkStart w:id="3" w:name="page4"/>
    <w:bookmarkEnd w:id="3"/>
    <w:p>
      <w:pPr>
        <w:spacing w:after="0" w:line="47" w:lineRule="exact"/>
        <w:rPr>
          <w:sz w:val="20"/>
          <w:szCs w:val="20"/>
          <w:color w:val="auto"/>
        </w:rPr>
      </w:pPr>
    </w:p>
    <w:p>
      <w:pPr>
        <w:ind w:right="20"/>
        <w:spacing w:after="0"/>
        <w:rPr>
          <w:sz w:val="20"/>
          <w:szCs w:val="20"/>
          <w:color w:val="auto"/>
        </w:rPr>
      </w:pPr>
      <w:r>
        <w:rPr>
          <w:rFonts w:ascii="Times New Roman" w:cs="Times New Roman" w:eastAsia="Times New Roman" w:hAnsi="Times New Roman"/>
          <w:sz w:val="22"/>
          <w:szCs w:val="22"/>
          <w:color w:val="auto"/>
        </w:rPr>
        <w:t>basis with an exercise price of $13.42 per share. The exercise period commences upon the first date the Company achieves a valuation of $5,000,000,000. Row 11. Based on a total of 93,089,121 shares of Common Stock outstanding as of June 22, 2026, as reported by the Issuer in its prospectus filed pursuant to Rule 424(b)(4) with the Securities and Exchange Commission on June 18, 2026, assuming the underwriters' exercise of their over-allotment option.</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Kevin Anthony Kelly</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7"/>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85" w:orient="portrait"/>
          <w:cols w:equalWidth="0" w:num="1">
            <w:col w:w="11220"/>
          </w:cols>
          <w:pgMar w:left="320" w:top="112" w:right="35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16,917,034.00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16,917,034.00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16,917,034.00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18.2 %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85" w:orient="portrait"/>
          <w:cols w:equalWidth="0" w:num="2">
            <w:col w:w="1100" w:space="60"/>
            <w:col w:w="10060"/>
          </w:cols>
          <w:pgMar w:left="320" w:top="112" w:right="359" w:bottom="0" w:gutter="0" w:footer="0" w:header="0"/>
          <w:type w:val="continuous"/>
        </w:sectPr>
      </w:pPr>
    </w:p>
    <w:p>
      <w:pPr>
        <w:spacing w:after="0" w:line="70"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Row 6, 8 and 9. 14,866,868 shares of Common Stock are directly owned by HRTG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PV and 2,050,166 shares of Common Stock are directly owned by HRTG CIF 2024. HRTG is the general partner of each of HRTG PV, L.P. and HRTG CIF 2024, L.P. Keith Johnson and Kevin Kelly each serve as a Managing Member of HRTG. Excludes shares of Common Stock issuable upon the exercise of a warrant to purchase up to 876,040 shares of Common Stock (the "Warrant") directly owned by HRTG PV. The Warrant is exercisable on a cashless basis with an exercise price of $13.42 per share. The exercise period commences upon the first date the Company achieves a valuation of $5,000,000,000. Row 11. Based on a total of 93,089,121 shares of Common Stock outstanding as of June 22, 2026, as reported by the Issuer in its prospectus filed pursuant to Rule 424(b)(4) with the Securities and Exchange Commission on June 18, 2026, assuming the underwriters' exercise of their over-allotment option.</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85" w:orient="portrait"/>
          <w:cols w:equalWidth="0" w:num="1">
            <w:col w:w="11220"/>
          </w:cols>
          <w:pgMar w:left="320" w:top="112" w:right="359" w:bottom="0" w:gutter="0" w:footer="0" w:header="0"/>
          <w:type w:val="continuous"/>
        </w:sect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b w:val="1"/>
          <w:bCs w:val="1"/>
          <w:color w:val="auto"/>
        </w:rPr>
        <w:t>CUSIP No.</w:t>
      </w:r>
    </w:p>
    <w:p>
      <w:pPr>
        <w:sectPr>
          <w:pgSz w:w="11900" w:h="16885" w:orient="portrait"/>
          <w:cols w:equalWidth="0" w:num="1">
            <w:col w:w="11220"/>
          </w:cols>
          <w:pgMar w:left="320" w:top="112" w:right="359" w:bottom="0" w:gutter="0" w:footer="0" w:header="0"/>
          <w:type w:val="continuous"/>
        </w:sectPr>
      </w:pPr>
    </w:p>
    <w:bookmarkStart w:id="4" w:name="page5"/>
    <w:bookmarkEnd w:id="4"/>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Keith Bryon Johnson</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60" w:hanging="1112"/>
        <w:spacing w:after="0"/>
        <w:tabs>
          <w:tab w:leader="none" w:pos="1160" w:val="left"/>
        </w:tabs>
        <w:numPr>
          <w:ilvl w:val="0"/>
          <w:numId w:val="8"/>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220"/>
          </w:cols>
          <w:pgMar w:left="320" w:top="679" w:right="35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16,917,034.00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16,917,034.00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16,917,034.00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18.2 %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100" w:space="60"/>
            <w:col w:w="10060"/>
          </w:cols>
          <w:pgMar w:left="320" w:top="679" w:right="359" w:bottom="0" w:gutter="0" w:footer="0" w:header="0"/>
          <w:type w:val="continuous"/>
        </w:sectPr>
      </w:pPr>
    </w:p>
    <w:p>
      <w:pPr>
        <w:spacing w:after="0" w:line="70"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Row 6, 8 and 9. 14,866,868 shares of Common Stock are directly owned by HRTG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PV and 2,050,166 shares of Common Stock are directly owned by HRTG CIF 2024. HRTG is the general partner of each of HRTG PV, L.P. and HRTG CIF 2024, L.P. Keith Johnson and Kevin Kelly each serve as a Managing Member of HRTG. Excludes shares of Common Stock issuable upon the exercise of a warrant to purchase up to 876,040 shares of Common Stock (the "Warrant") directly owned by HRTG PV. The Warrant is exercisable on a cashless basis with an exercise price of $13.42 per share. The exercise period commences upon the first date the Company achieves a valuation of $5,000,000,000. Row 11. Based on a total of 93,089,121 shares of Common Stock outstanding as of June 22, 2026, as reported by the Issuer in its prospectus filed pursuant to Rule 424(b)(4) with the Securities and Exchange Commission on June 18, 2026, assuming the underwriters' exercise of their over-allotment option.</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Kardigan, Inc.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506 Carnegie Center Drive, Suite 201, Princeton, NJ, 08540</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60" w:hanging="912"/>
        <w:spacing w:after="0"/>
        <w:tabs>
          <w:tab w:leader="none" w:pos="9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of person filing:</w:t>
      </w:r>
    </w:p>
    <w:p>
      <w:pPr>
        <w:sectPr>
          <w:pgSz w:w="11900" w:h="16838" w:orient="portrait"/>
          <w:cols w:equalWidth="0" w:num="1">
            <w:col w:w="11220"/>
          </w:cols>
          <w:pgMar w:left="320" w:top="679" w:right="359" w:bottom="0" w:gutter="0" w:footer="0" w:header="0"/>
          <w:type w:val="continuous"/>
        </w:sectPr>
      </w:pPr>
    </w:p>
    <w:bookmarkStart w:id="5" w:name="page6"/>
    <w:bookmarkEnd w:id="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0" w:lineRule="exact"/>
        <w:rPr>
          <w:sz w:val="20"/>
          <w:szCs w:val="20"/>
          <w:color w:val="auto"/>
        </w:rPr>
      </w:pPr>
      <w:r>
        <w:rPr>
          <w:sz w:val="20"/>
          <w:szCs w:val="20"/>
          <w:color w:val="auto"/>
        </w:rPr>
        <w:br w:type="column"/>
      </w:r>
    </w:p>
    <w:p>
      <w:pPr>
        <w:ind w:right="80"/>
        <w:spacing w:after="0" w:line="238" w:lineRule="auto"/>
        <w:rPr>
          <w:sz w:val="20"/>
          <w:szCs w:val="20"/>
          <w:color w:val="auto"/>
        </w:rPr>
      </w:pPr>
      <w:r>
        <w:rPr>
          <w:rFonts w:ascii="Times New Roman" w:cs="Times New Roman" w:eastAsia="Times New Roman" w:hAnsi="Times New Roman"/>
          <w:sz w:val="22"/>
          <w:szCs w:val="22"/>
          <w:color w:val="auto"/>
        </w:rPr>
        <w:t>HRTG PV, L.P. HRTG CIF 2024, L.P. HRTG GPE, LLC Kevin Anthony Kelly Keith Bryon Johnson HRTG GPE, LLC ("HRTG") is the general partner of each of HRTG PV, L.P. and HRTG CIF 2024, L.P. Keith Johnson and Kevin Kelly each serve as a Managing Member of HRTG. Each of HRTG, Mr. Johnson and Mr. Kelly disclaims beneficial ownership of the securities held directly by HRTG PV, L.P. and HRTG CIF 2024, L.P., except to the extent of such person's pecuniary interest therein, if any.</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5237 HHR RANCH RD, SUITE 2, WILSON, WY, 83014</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HRTG PV, L.P., HRTG CIF 2024, L.P., and HRTG GPE, LLC: Delaware; Kevin Anthony Kelly and Keith Bryon</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Johnson: USA.</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 par value $0.00001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this statement is filed pursuant to §§ 240.13d-1(b) or 240.13d-2(b) or (c), check whether the person filing is a:</w:t>
      </w:r>
    </w:p>
    <w:p>
      <w:pPr>
        <w:spacing w:after="0" w:line="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620"/>
        <w:spacing w:after="0" w:line="258" w:lineRule="auto"/>
        <w:rPr>
          <w:sz w:val="20"/>
          <w:szCs w:val="20"/>
          <w:color w:val="auto"/>
        </w:rPr>
      </w:pPr>
      <w:r>
        <w:rPr>
          <w:sz w:val="1"/>
          <w:szCs w:val="1"/>
          <w:color w:val="auto"/>
        </w:rPr>
        <w:drawing>
          <wp:inline distT="0" distB="0" distL="0" distR="0">
            <wp:extent cx="128905" cy="12890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960"/>
        <w:spacing w:after="0" w:line="241" w:lineRule="auto"/>
        <w:rPr>
          <w:sz w:val="20"/>
          <w:szCs w:val="20"/>
          <w:color w:val="auto"/>
        </w:rPr>
      </w:pPr>
      <w:r>
        <w:rPr>
          <w:sz w:val="1"/>
          <w:szCs w:val="1"/>
          <w:color w:val="auto"/>
        </w:rPr>
        <w:drawing>
          <wp:inline distT="0" distB="0" distL="0" distR="0">
            <wp:extent cx="128905" cy="12890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00" w:lineRule="exact"/>
        <w:rPr>
          <w:sz w:val="20"/>
          <w:szCs w:val="20"/>
          <w:color w:val="auto"/>
        </w:rPr>
      </w:pPr>
    </w:p>
    <w:p>
      <w:pPr>
        <w:sectPr>
          <w:pgSz w:w="11900" w:h="16838" w:orient="portrait"/>
          <w:cols w:equalWidth="0" w:num="2">
            <w:col w:w="620" w:space="300"/>
            <w:col w:w="10160"/>
          </w:cols>
          <w:pgMar w:left="360" w:top="111" w:right="459" w:bottom="0" w:gutter="0" w:footer="0" w:header="0"/>
        </w:sectPr>
      </w:pPr>
    </w:p>
    <w:p>
      <w:pPr>
        <w:spacing w:after="0" w:line="33" w:lineRule="exact"/>
        <w:rPr>
          <w:sz w:val="20"/>
          <w:szCs w:val="20"/>
          <w:color w:val="auto"/>
        </w:rPr>
      </w:pPr>
    </w:p>
    <w:p>
      <w:pPr>
        <w:ind w:left="920"/>
        <w:spacing w:after="0" w:line="253" w:lineRule="auto"/>
        <w:rPr>
          <w:sz w:val="20"/>
          <w:szCs w:val="20"/>
          <w:color w:val="auto"/>
        </w:rPr>
      </w:pPr>
      <w:r>
        <w:rPr>
          <w:rFonts w:ascii="Times New Roman" w:cs="Times New Roman" w:eastAsia="Times New Roman" w:hAnsi="Times New Roman"/>
          <w:sz w:val="21"/>
          <w:szCs w:val="21"/>
          <w:color w:val="auto"/>
        </w:rPr>
        <w:t>16,917,034. 14,866,868 shares of Common Stock are directly owned by HRTG PV and 2,050,166 shares of Common Stock are directly owned by HRTG CIF 2024. HRTG is the general partner of each of HRTG PV, L.P. and HRTG CIF</w:t>
      </w:r>
    </w:p>
    <w:p>
      <w:pPr>
        <w:spacing w:after="0" w:line="1" w:lineRule="exact"/>
        <w:rPr>
          <w:sz w:val="20"/>
          <w:szCs w:val="20"/>
          <w:color w:val="auto"/>
        </w:rPr>
      </w:pPr>
    </w:p>
    <w:p>
      <w:pPr>
        <w:ind w:left="920" w:hanging="912"/>
        <w:spacing w:after="0" w:line="211" w:lineRule="auto"/>
        <w:tabs>
          <w:tab w:leader="none" w:pos="920" w:val="left"/>
        </w:tabs>
        <w:numPr>
          <w:ilvl w:val="0"/>
          <w:numId w:val="10"/>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2024, L.P. Keith Johnson and Kevin Kelly each serve as a Managing Member of HRTG. Each of HRTG, Mr. Johnson and Mr. Kelly disclaims beneficial ownership of the securities held directly by HRTG PV, L.P. and HRTG CIF 2024, L.P., except to the extent of such person's pecuniary interest therein, if any. Does not include shares of Common Stock issuable upon the exercise of a warrant to purchase up to 876,040 shares of Common Stock (the "Warrant") directly owned by HRTG PV, L.P. The Warrant is exercisable on a cashless basis with an exercise price of $13.42 per share. The exercise period commences upon the first date the Company achieves a valuation of $5,000,000,000. Percent of class:</w:t>
      </w:r>
    </w:p>
    <w:p>
      <w:pPr>
        <w:spacing w:after="0" w:line="204" w:lineRule="exact"/>
        <w:rPr>
          <w:rFonts w:ascii="Times New Roman" w:cs="Times New Roman" w:eastAsia="Times New Roman" w:hAnsi="Times New Roman"/>
          <w:sz w:val="43"/>
          <w:szCs w:val="43"/>
          <w:color w:val="auto"/>
          <w:vertAlign w:val="subscript"/>
        </w:rPr>
      </w:pPr>
    </w:p>
    <w:p>
      <w:pPr>
        <w:ind w:left="920" w:hanging="912"/>
        <w:spacing w:after="0" w:line="244" w:lineRule="auto"/>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18.2%. The percentage is based on a total of 93,089,121 shares of Common Stock outstanding as of June 22, 2026, as reported by the Issuer in its prospectus filed pursuant to Rule 424(b)(4) with the Securities and Exchange Commission on June 18, 2026, assuming the underwriters' exercise of their over-allotment option. %</w:t>
      </w:r>
    </w:p>
    <w:p>
      <w:pPr>
        <w:spacing w:after="0" w:line="11"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HRTG PV, L.P.: 14,866,868 HRTG CIF 2024, L.P.: 2,050,166 HRTG GPE, LLC: 16,917,034 Kevin Anthony Kelly:</w:t>
      </w:r>
    </w:p>
    <w:p>
      <w:pPr>
        <w:spacing w:after="0" w:line="2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16,917,034 Keith Bryon Johnson: 16,917,034</w:t>
      </w:r>
    </w:p>
    <w:p>
      <w:pPr>
        <w:spacing w:after="0" w:line="26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ectPr>
          <w:pgSz w:w="11900" w:h="16838" w:orient="portrait"/>
          <w:cols w:equalWidth="0" w:num="1">
            <w:col w:w="11080"/>
          </w:cols>
          <w:pgMar w:left="360" w:top="111" w:right="459" w:bottom="0" w:gutter="0" w:footer="0" w:header="0"/>
          <w:type w:val="continuous"/>
        </w:sectPr>
      </w:pP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0</w:t>
      </w:r>
    </w:p>
    <w:p>
      <w:pPr>
        <w:sectPr>
          <w:pgSz w:w="11900" w:h="16838" w:orient="portrait"/>
          <w:cols w:equalWidth="0" w:num="1">
            <w:col w:w="11080"/>
          </w:cols>
          <w:pgMar w:left="360" w:top="111" w:right="459" w:bottom="0" w:gutter="0" w:footer="0" w:header="0"/>
          <w:type w:val="continuous"/>
        </w:sectPr>
      </w:pPr>
    </w:p>
    <w:bookmarkStart w:id="6" w:name="page7"/>
    <w:bookmarkEnd w:id="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HRTG PV, L.P.: 14,866,868 HRTG CIF 2024, L.P.: 2,050,166 HRTG GPE, LLC: 16,917,034 Kevin Anthony Kelly:</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16,917,034 Keith Bryon Johnson: 16,917,034</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409" w:right="399" w:bottom="1440" w:gutter="0" w:footer="0" w:header="0"/>
        </w:sect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HRTG PV, L.P. ("HRTG PV")</w:t>
      </w:r>
    </w:p>
    <w:p>
      <w:pPr>
        <w:spacing w:after="0" w:line="152" w:lineRule="exact"/>
        <w:rPr>
          <w:sz w:val="20"/>
          <w:szCs w:val="20"/>
          <w:color w:val="auto"/>
        </w:rPr>
      </w:pPr>
    </w:p>
    <w:p>
      <w:pPr>
        <w:ind w:left="4880"/>
        <w:spacing w:after="0"/>
        <w:tabs>
          <w:tab w:leader="none" w:pos="59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Kevin Anthony Kelly</w:t>
      </w:r>
    </w:p>
    <w:p>
      <w:pPr>
        <w:spacing w:after="0" w:line="44"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color w:val="auto"/>
        </w:rPr>
        <w:t>Name/Title: Kevin Anthony Kelly/Managing Member</w:t>
      </w:r>
    </w:p>
    <w:p>
      <w:pPr>
        <w:spacing w:after="0" w:line="44" w:lineRule="exact"/>
        <w:rPr>
          <w:sz w:val="20"/>
          <w:szCs w:val="20"/>
          <w:color w:val="auto"/>
        </w:rPr>
      </w:pPr>
    </w:p>
    <w:p>
      <w:pPr>
        <w:ind w:left="4880"/>
        <w:spacing w:after="0"/>
        <w:tabs>
          <w:tab w:leader="none" w:pos="59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06/29/2026</w:t>
      </w:r>
    </w:p>
    <w:p>
      <w:pPr>
        <w:spacing w:after="0" w:line="15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2"/>
          <w:szCs w:val="22"/>
          <w:color w:val="auto"/>
        </w:rPr>
        <w:t>HRTG CIF 2024, L.P. ("HRTG CIF 2024")</w:t>
      </w:r>
    </w:p>
    <w:p>
      <w:pPr>
        <w:spacing w:after="0" w:line="152" w:lineRule="exact"/>
        <w:rPr>
          <w:sz w:val="20"/>
          <w:szCs w:val="20"/>
          <w:color w:val="auto"/>
        </w:rPr>
      </w:pPr>
    </w:p>
    <w:p>
      <w:pPr>
        <w:ind w:left="4880"/>
        <w:spacing w:after="0"/>
        <w:tabs>
          <w:tab w:leader="none" w:pos="59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Kevin Anthony Kelly</w:t>
      </w:r>
    </w:p>
    <w:p>
      <w:pPr>
        <w:spacing w:after="0" w:line="44"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color w:val="auto"/>
        </w:rPr>
        <w:t>Name/Title: Kevin Anthony Kelly/Managing Member</w:t>
      </w:r>
    </w:p>
    <w:p>
      <w:pPr>
        <w:spacing w:after="0" w:line="44" w:lineRule="exact"/>
        <w:rPr>
          <w:sz w:val="20"/>
          <w:szCs w:val="20"/>
          <w:color w:val="auto"/>
        </w:rPr>
      </w:pPr>
    </w:p>
    <w:p>
      <w:pPr>
        <w:ind w:left="4880"/>
        <w:spacing w:after="0"/>
        <w:tabs>
          <w:tab w:leader="none" w:pos="59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06/29/2026</w:t>
      </w:r>
    </w:p>
    <w:p>
      <w:pPr>
        <w:spacing w:after="0" w:line="152"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HRTG GPE, LLC ("HRTG")</w:t>
      </w:r>
    </w:p>
    <w:p>
      <w:pPr>
        <w:spacing w:after="0" w:line="152" w:lineRule="exact"/>
        <w:rPr>
          <w:sz w:val="20"/>
          <w:szCs w:val="20"/>
          <w:color w:val="auto"/>
        </w:rPr>
      </w:pPr>
    </w:p>
    <w:p>
      <w:pPr>
        <w:ind w:left="4880"/>
        <w:spacing w:after="0"/>
        <w:tabs>
          <w:tab w:leader="none" w:pos="59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Kevin Anthony Kelly</w:t>
      </w:r>
    </w:p>
    <w:p>
      <w:pPr>
        <w:spacing w:after="0" w:line="44"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color w:val="auto"/>
        </w:rPr>
        <w:t>Name/Title: Kevin Anthony Kelly/Managing Member</w:t>
      </w:r>
    </w:p>
    <w:p>
      <w:pPr>
        <w:spacing w:after="0" w:line="44" w:lineRule="exact"/>
        <w:rPr>
          <w:sz w:val="20"/>
          <w:szCs w:val="20"/>
          <w:color w:val="auto"/>
        </w:rPr>
      </w:pPr>
    </w:p>
    <w:p>
      <w:pPr>
        <w:ind w:left="4880"/>
        <w:spacing w:after="0"/>
        <w:tabs>
          <w:tab w:leader="none" w:pos="59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06/29/2026</w:t>
      </w:r>
    </w:p>
    <w:p>
      <w:pPr>
        <w:spacing w:after="0" w:line="152"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22"/>
          <w:szCs w:val="22"/>
          <w:color w:val="auto"/>
        </w:rPr>
        <w:t>Kevin Anthony Kelly</w:t>
      </w:r>
    </w:p>
    <w:p>
      <w:pPr>
        <w:spacing w:after="0" w:line="152" w:lineRule="exact"/>
        <w:rPr>
          <w:sz w:val="20"/>
          <w:szCs w:val="20"/>
          <w:color w:val="auto"/>
        </w:rPr>
      </w:pPr>
    </w:p>
    <w:p>
      <w:pPr>
        <w:ind w:left="3420"/>
        <w:spacing w:after="0"/>
        <w:tabs>
          <w:tab w:leader="none" w:pos="44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Kevin Anthony Kelly</w:t>
      </w:r>
    </w:p>
    <w:p>
      <w:pPr>
        <w:spacing w:after="0" w:line="44"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2"/>
          <w:szCs w:val="22"/>
          <w:color w:val="auto"/>
        </w:rPr>
        <w:t>Name/Title: Kevin Anthony Kelly</w:t>
      </w:r>
    </w:p>
    <w:p>
      <w:pPr>
        <w:spacing w:after="0" w:line="44" w:lineRule="exact"/>
        <w:rPr>
          <w:sz w:val="20"/>
          <w:szCs w:val="20"/>
          <w:color w:val="auto"/>
        </w:rPr>
      </w:pPr>
    </w:p>
    <w:p>
      <w:pPr>
        <w:ind w:left="3420"/>
        <w:spacing w:after="0"/>
        <w:tabs>
          <w:tab w:leader="none" w:pos="44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06/29/2026</w:t>
      </w:r>
    </w:p>
    <w:p>
      <w:pPr>
        <w:spacing w:after="0" w:line="152"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22"/>
          <w:szCs w:val="22"/>
          <w:color w:val="auto"/>
        </w:rPr>
        <w:t>Keith Bryon Johnson</w:t>
      </w:r>
    </w:p>
    <w:p>
      <w:pPr>
        <w:spacing w:after="0" w:line="152" w:lineRule="exact"/>
        <w:rPr>
          <w:sz w:val="20"/>
          <w:szCs w:val="20"/>
          <w:color w:val="auto"/>
        </w:rPr>
      </w:pPr>
    </w:p>
    <w:p>
      <w:pPr>
        <w:ind w:left="3380"/>
        <w:spacing w:after="0"/>
        <w:tabs>
          <w:tab w:leader="none" w:pos="44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Keith Bryon Johnson</w:t>
      </w:r>
    </w:p>
    <w:p>
      <w:pPr>
        <w:spacing w:after="0" w:line="44"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color w:val="auto"/>
        </w:rPr>
        <w:t>Name/Title: Keith Bryon Johnson</w:t>
      </w:r>
    </w:p>
    <w:p>
      <w:pPr>
        <w:spacing w:after="0" w:line="44" w:lineRule="exact"/>
        <w:rPr>
          <w:sz w:val="20"/>
          <w:szCs w:val="20"/>
          <w:color w:val="auto"/>
        </w:rPr>
      </w:pPr>
    </w:p>
    <w:p>
      <w:pPr>
        <w:ind w:left="3380"/>
        <w:spacing w:after="0"/>
        <w:tabs>
          <w:tab w:leader="none" w:pos="44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06/29/2026</w:t>
      </w:r>
    </w:p>
    <w:sectPr>
      <w:pgSz w:w="11900" w:h="16838" w:orient="portrait"/>
      <w:cols w:equalWidth="0" w:num="1">
        <w:col w:w="11140"/>
      </w:cols>
      <w:pgMar w:left="360" w:top="409" w:right="3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D1B58BA"/>
    <w:multiLevelType w:val="hybridMultilevel"/>
    <w:lvl w:ilvl="0">
      <w:lvlJc w:val="left"/>
      <w:lvlText w:val="2"/>
      <w:numFmt w:val="bullet"/>
      <w:start w:val="1"/>
    </w:lvl>
  </w:abstractNum>
  <w:abstractNum w:abstractNumId="1">
    <w:nsid w:val="507ED7AB"/>
    <w:multiLevelType w:val="hybridMultilevel"/>
    <w:lvl w:ilvl="0">
      <w:lvlJc w:val="left"/>
      <w:lvlText w:val="3"/>
      <w:numFmt w:val="bullet"/>
      <w:start w:val="1"/>
    </w:lvl>
  </w:abstractNum>
  <w:abstractNum w:abstractNumId="2">
    <w:nsid w:val="2EB141F2"/>
    <w:multiLevelType w:val="hybridMultilevel"/>
    <w:lvl w:ilvl="0">
      <w:lvlJc w:val="left"/>
      <w:lvlText w:val="2"/>
      <w:numFmt w:val="bullet"/>
      <w:start w:val="1"/>
    </w:lvl>
  </w:abstractNum>
  <w:abstractNum w:abstractNumId="3">
    <w:nsid w:val="41B71EFB"/>
    <w:multiLevelType w:val="hybridMultilevel"/>
    <w:lvl w:ilvl="0">
      <w:lvlJc w:val="left"/>
      <w:lvlText w:val="3"/>
      <w:numFmt w:val="bullet"/>
      <w:start w:val="1"/>
    </w:lvl>
  </w:abstractNum>
  <w:abstractNum w:abstractNumId="4">
    <w:nsid w:val="79E2A9E3"/>
    <w:multiLevelType w:val="hybridMultilevel"/>
    <w:lvl w:ilvl="0">
      <w:lvlJc w:val="left"/>
      <w:lvlText w:val="9"/>
      <w:numFmt w:val="bullet"/>
      <w:start w:val="1"/>
    </w:lvl>
  </w:abstractNum>
  <w:abstractNum w:abstractNumId="5">
    <w:nsid w:val="7545E146"/>
    <w:multiLevelType w:val="hybridMultilevel"/>
    <w:lvl w:ilvl="0">
      <w:lvlJc w:val="left"/>
      <w:lvlText w:val="2"/>
      <w:numFmt w:val="bullet"/>
      <w:start w:val="1"/>
    </w:lvl>
  </w:abstractNum>
  <w:abstractNum w:abstractNumId="6">
    <w:nsid w:val="515F007C"/>
    <w:multiLevelType w:val="hybridMultilevel"/>
    <w:lvl w:ilvl="0">
      <w:lvlJc w:val="left"/>
      <w:lvlText w:val="2"/>
      <w:numFmt w:val="bullet"/>
      <w:start w:val="1"/>
    </w:lvl>
  </w:abstractNum>
  <w:abstractNum w:abstractNumId="7">
    <w:nsid w:val="5BD062C2"/>
    <w:multiLevelType w:val="hybridMultilevel"/>
    <w:lvl w:ilvl="0">
      <w:lvlJc w:val="left"/>
      <w:lvlText w:val="2"/>
      <w:numFmt w:val="bullet"/>
      <w:start w:val="1"/>
    </w:lvl>
  </w:abstractNum>
  <w:abstractNum w:abstractNumId="8">
    <w:nsid w:val="12200854"/>
    <w:multiLevelType w:val="hybridMultilevel"/>
    <w:lvl w:ilvl="0">
      <w:lvlJc w:val="left"/>
      <w:lvlText w:val="(%1)"/>
      <w:numFmt w:val="lowerLetter"/>
      <w:start w:val="1"/>
    </w:lvl>
  </w:abstractNum>
  <w:abstractNum w:abstractNumId="9">
    <w:nsid w:val="4DB127F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2026-06-29T18:15:17Z</dcterms:created>
  <dcterms:modified xsi:type="dcterms:W3CDTF">2026-06-29T18:15:17Z</dcterms:modified>
</cp:coreProperties>
</file>