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Kardigan,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001-43354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93-2994203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Kardigan,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506 Carnegie Center Drive, Suite 201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(415) 573-3220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KARD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 Amendments to Articles of Incorporation or Bylaws.</w:t>
      </w:r>
    </w:p>
    <w:p>
      <w:pPr>
        <w:spacing w:after="0" w:line="1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As previously disclosed in the Registration Statement on Form S-1, as amended (File No. 333-296236) (the “Registration Statement”), of Kardigan, Inc. (the “Company”), and in connection with the completion of the initial public offering of the Company’s common stock (the “IPO”), the Company filed its third amended and restated certificate of incorporation (the “Amended and Restated Certificate”) with the Secretary of State of the State of Delaware on June 22, 2026. The Company’s board of directors (the “Board”) and the Company’s stockholders previously approved the Amended and Restated Certificate to be filed in connection with, and to be effective immediately prior to, the completion of the IPO. The Amended and Restated Certificate amends and restates the Company’s existing amended and restated certificate of incorporation, as amended, in its entirety to, among other things:</w:t>
      </w:r>
    </w:p>
    <w:p>
      <w:pPr>
        <w:spacing w:after="0" w:line="5" w:lineRule="exact"/>
        <w:rPr>
          <w:sz w:val="20"/>
          <w:szCs w:val="20"/>
          <w:color w:val="auto"/>
        </w:rPr>
      </w:pPr>
    </w:p>
    <w:p>
      <w:pPr>
        <w:ind w:left="4" w:right="240" w:hanging="4"/>
        <w:spacing w:after="0" w:line="253"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700,000,000 shares of common stock; including 500,000,000 shares of voting common stock and 200,000,000 shares of non-voting common stock; (ii) authorize 10,000,000 shares of undesignated preferred stock that may be issued from time to time by the Board in one or more series; (iii) eliminate all references to the previously-existing series of preferred stock; and (iv) eliminate the ability of the Company’s stockholders to take action by written consent in lieu of a meeting and call special meetings of stockholders.</w:t>
      </w:r>
    </w:p>
    <w:p>
      <w:pPr>
        <w:spacing w:after="0" w:line="18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Certificate is qualified by reference to the Amended and Restated Certificate, a copy of which is attached hereto as Exhibit 3.1 and is incorporated herein by reference.</w:t>
      </w:r>
    </w:p>
    <w:p>
      <w:pPr>
        <w:spacing w:after="0" w:line="162" w:lineRule="exact"/>
        <w:rPr>
          <w:sz w:val="20"/>
          <w:szCs w:val="20"/>
          <w:color w:val="auto"/>
        </w:rPr>
      </w:pPr>
    </w:p>
    <w:p>
      <w:pPr>
        <w:ind w:left="4" w:right="240"/>
        <w:spacing w:after="0" w:line="256" w:lineRule="auto"/>
        <w:rPr>
          <w:sz w:val="20"/>
          <w:szCs w:val="20"/>
          <w:color w:val="auto"/>
        </w:rPr>
      </w:pPr>
      <w:r>
        <w:rPr>
          <w:rFonts w:ascii="Times New Roman" w:cs="Times New Roman" w:eastAsia="Times New Roman" w:hAnsi="Times New Roman"/>
          <w:sz w:val="18"/>
          <w:szCs w:val="18"/>
          <w:color w:val="auto"/>
        </w:rPr>
        <w:t>In addition, as previously disclosed in the Registration Statement, the amended and restated bylaws of the Company (the “Amended and Restated Bylaws”), previously approved by the Board and the Company’s stockholders, became effective as of the effectiveness of the Registration Statement. The Amended and Restated Bylaws amend and restate the Company’s bylaws in their entirety to, among other things: (i) establish procedures for the Company’s stockholders to take formal actions at meetings of stockholders; (ii) establish an advance notice procedure for stockholder proposals to be brought before an annual meeting of the Company’s stockholders, including proposed nominations of persons for election to the Board; and (iii) conform to the amended provisions of the Amended and Restated Certificate.</w:t>
      </w:r>
    </w:p>
    <w:p>
      <w:pPr>
        <w:spacing w:after="0" w:line="187"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is qualified by reference to the Amended and Restated Bylaws, a copy of which is attached hereto as Exhibit 3.2 and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0000EE"/>
        </w:rPr>
        <w:t>Third Amended and Restated Certificate of Incorporation of Kardigan, Inc.</w:t>
      </w:r>
    </w:p>
    <w:p>
      <w:pPr>
        <w:spacing w:after="0" w:line="11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EE"/>
        </w:rPr>
        <w:t>Amended and Restated Bylaws of Kardigan, Inc.</w:t>
      </w:r>
    </w:p>
    <w:p>
      <w:pPr>
        <w:sectPr>
          <w:pgSz w:w="11900" w:h="16838" w:orient="portrait"/>
          <w:cols w:equalWidth="0" w:num="1">
            <w:col w:w="11004"/>
          </w:cols>
          <w:pgMar w:left="436"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Kardigan,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Tassos Gianakakos</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Tassos Gianakakos</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KARDIGAN, INC.</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Kardigan, Inc., a corporation organized and existing under the laws of the State of Delaware (the “Corporation”), hereby certifies as follows:</w:t>
      </w:r>
    </w:p>
    <w:p>
      <w:pPr>
        <w:spacing w:after="0" w:line="117" w:lineRule="exact"/>
        <w:rPr>
          <w:sz w:val="20"/>
          <w:szCs w:val="20"/>
          <w:color w:val="auto"/>
        </w:rPr>
      </w:pPr>
    </w:p>
    <w:p>
      <w:pPr>
        <w:ind w:right="6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Kardigan, Inc. The date of the filing of its original Certificate of Incorporation with the Secretary of State of the State of Delaware was August 18, 2023 (the “Original Certificate”). The name under which the Corporation filed the Original Certificate was EnCarda, Inc.</w:t>
      </w:r>
    </w:p>
    <w:p>
      <w:pPr>
        <w:spacing w:after="0" w:line="175" w:lineRule="exact"/>
        <w:rPr>
          <w:rFonts w:ascii="Times New Roman" w:cs="Times New Roman" w:eastAsia="Times New Roman" w:hAnsi="Times New Roman"/>
          <w:sz w:val="18"/>
          <w:szCs w:val="18"/>
          <w:color w:val="auto"/>
        </w:rPr>
      </w:pPr>
    </w:p>
    <w:p>
      <w:pPr>
        <w:ind w:right="60" w:firstLine="436"/>
        <w:spacing w:after="0" w:line="25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was amended by that certain Amended and Restated Certificate of Incorporation dated June 6, 2024, (the “Amended and Restated Certificate”), and further by that certain Second Amended and Restated Certificate of Incorporation dated September 4, 2025, as amended on October 9, 2025 by that certain First Certificate of Amendment to the Second Amended and Restated Certificate of Incorporation, further amended on February 16, 2026 by that certain Second Certificate of Amendment to the Second Amended and Restated Certificate of Incorporation, further amended on March 17, 2026 by that certain Third Certificate of Amendment to the Second Amended and Restated Certificate of Incorporation, and further amended on April 2, 2026 by that certain Fourth Certificate of Amendment to the Second Amended and Restated Certificate of Incorporation (as amended, the “Second Amended and Restated Certificate”). This Third Amended and Restated Certificate of Incorporation (the “Certificate”) amends, restates and integrates the provisions of the Second Amended and Restated Certificate, and was duly adopted in accordance with the provisions of Sections 228, 242 and 245 of the General Corporation Law of the State of Delaware (the “DGCL”).</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Second Amended and Restated Certificate is hereby amended, restated and integrated in its entirety to provide as follows.</w:t>
      </w:r>
    </w:p>
    <w:p>
      <w:pPr>
        <w:spacing w:after="0" w:line="225" w:lineRule="exact"/>
        <w:rPr>
          <w:rFonts w:ascii="Times New Roman" w:cs="Times New Roman" w:eastAsia="Times New Roman" w:hAnsi="Times New Roman"/>
          <w:sz w:val="18"/>
          <w:szCs w:val="18"/>
          <w:color w:val="auto"/>
        </w:rPr>
      </w:pPr>
    </w:p>
    <w:p>
      <w:pPr>
        <w:ind w:right="26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the effectiveness of this Certificate with the Secretary of State of the State of Delaware, all of the shares of the Corporation’s Common Stock (as defined in the Second Amended and Restated Certificate) are and shall be automatically redesignated and reclassified as shares of Voting Common Stock (as defined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Kardigan, Inc.</w:t>
      </w:r>
    </w:p>
    <w:p>
      <w:pPr>
        <w:sectPr>
          <w:pgSz w:w="11900" w:h="16838" w:orient="portrait"/>
          <w:cols w:equalWidth="0" w:num="1">
            <w:col w:w="11020"/>
          </w:cols>
          <w:pgMar w:left="440" w:top="117" w:right="439" w:bottom="1440" w:gutter="0" w:footer="0" w:header="0"/>
        </w:sectPr>
      </w:pPr>
    </w:p>
    <w:bookmarkStart w:id="4" w:name="page5"/>
    <w:bookmarkEnd w:id="4"/>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19801. The name of its registered agent at such address is The Corporation Trust Company.</w:t>
      </w:r>
    </w:p>
    <w:p>
      <w:pPr>
        <w:spacing w:after="0" w:line="37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4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Seven Hundred and Ten Million (710,000,000), of which (i) Seven Hundred Million (700,000,000) shares shall be a class designated as common stock, par value $0.00001 per share (the “Common Stock”), which class of Common Stock shall be subdivided into two series consisting of (a) Five Hundred Million (500,000,000) shares designated as voting Common Stock (the “Voting Common Stock”) and (b) Two Hundred Million (200,000,000) shares designated as non-voting Common Stock (the “Non-Voting Common Stock”) and (ii) Ten Million (10,000,000) shares shall be a class designated as undesignated preferred stock, par value $0.00001 per share (the “Preferred Stock”).</w:t>
      </w:r>
    </w:p>
    <w:p>
      <w:pPr>
        <w:spacing w:after="0" w:line="187" w:lineRule="exact"/>
        <w:rPr>
          <w:sz w:val="20"/>
          <w:szCs w:val="20"/>
          <w:color w:val="auto"/>
        </w:rPr>
      </w:pPr>
    </w:p>
    <w:p>
      <w:pPr>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requisite vote of the holders of the outstanding shares of capital stock of the Corporation entitled to vote thereon irrespective of the provisions of Section 242(b)</w:t>
      </w:r>
    </w:p>
    <w:p>
      <w:pPr>
        <w:spacing w:after="0" w:line="2" w:lineRule="exact"/>
        <w:rPr>
          <w:sz w:val="20"/>
          <w:szCs w:val="20"/>
          <w:color w:val="auto"/>
        </w:rPr>
      </w:pPr>
    </w:p>
    <w:p>
      <w:pPr>
        <w:ind w:left="4" w:right="14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 and no vote of the holders of any of the Common Stock or the Preferred Stock voting separately as a class shall be required therefor. For the avoidance of doubt, the elimination and reduction of the stockholder voting requirements otherwise applicable under Section 242(b) of the DGCL, as permitted by Section 242(d) of the DGCL, shall apply to any amendments to the Certificate.</w:t>
      </w:r>
    </w:p>
    <w:p>
      <w:pPr>
        <w:spacing w:after="0" w:line="18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Preferred Stock and except as provided by law or in this Certificate (including any certificate of designation of any series of Preferred Stock):</w:t>
      </w:r>
    </w:p>
    <w:p>
      <w:pPr>
        <w:spacing w:after="0" w:line="54" w:lineRule="exact"/>
        <w:rPr>
          <w:sz w:val="20"/>
          <w:szCs w:val="20"/>
          <w:color w:val="auto"/>
        </w:rPr>
      </w:pPr>
    </w:p>
    <w:p>
      <w:pPr>
        <w:ind w:right="80" w:firstLine="436"/>
        <w:spacing w:after="0" w:line="254"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the Voting Common Stock shall have the exclusive right to vote for the election of directors of the Corporation (the “Directors”) and on all other matters requiring stockholder action, each outstanding share of Voting Common Stock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Voting Common Stock, as such, shall not be entitled to vote on any amendment to this Certificate (including any amendment to a certificate of designation of any series of Preferred Stock) that alters or changes the number of shares,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spacing w:after="0" w:line="191"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Non-Voting Common Stock shall be non-voting shares, and the holders thereof shall have no right to vote for the election of Directors or on any other matters requiring stockholder action, except as required by law;</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Voting Common Stock and Non-Voting Common Stock shall be treated equally, identically and ratably, on a per share basis, with respect to any dividends or other distributions of cash, property or shares of capital stock of the Corporation (each, a “Distribution”), as may be declared and paid or set apart for payment upon the shares of Common Stock out of any assets or funds of the Corporation legally available therefor, when, as and if declared by the Board of Directors of the Corporation (the “Board”) or any authorized committee thereof; in the event that such Distribution is paid in the form of shares of Common Stock (or rights to acquire, or securities convertible or exchangeable for shares of Common Stock), holders of Voting Common Stock shall be entitled to receive only shares of Voting Common Stock (or rights to acquire, or securities convertible into or exchangeable for, such shares, as the case may be) and holders of Non-Voting Common Stock shall be entitled to receive only shares of Non-Voting Common Stock (or rights to acquire, or securities convertible into or exchangeable for, such shares, as the case may be); notwithstanding the foregoing, the Board may treat the holders of Voting Common Stock or Non-Voting Common Stock differently with respect to Distributions (including by only paying a Distribution on one such class or paying a different or disparate Distribution to each such class including with respect to the amount of such Distribution payable per share, the form in which such Distribution is payable, the timing of the payment, or otherwise) if such disparate treatment is approved by (i) a majority of the disinterested directors, as such term is defined in Section 144(e)(4) of the DGCL, then in office, or (ii) any committee of the Board expressly delegated the authority to oversee the treatment of such distributions);</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assets of the Corporation available for distribution to stockholders shall be distributed pro rata to the holders of the Voting Common Stock and Non-Voting Common Stock, treated equally and identically;</w:t>
      </w:r>
    </w:p>
    <w:p>
      <w:pPr>
        <w:spacing w:after="0" w:line="175" w:lineRule="exact"/>
        <w:rPr>
          <w:rFonts w:ascii="Times New Roman" w:cs="Times New Roman" w:eastAsia="Times New Roman" w:hAnsi="Times New Roman"/>
          <w:sz w:val="18"/>
          <w:szCs w:val="18"/>
          <w:color w:val="auto"/>
        </w:rPr>
      </w:pPr>
    </w:p>
    <w:p>
      <w:pPr>
        <w:ind w:right="260" w:firstLine="436"/>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merger or consolidation of the Corporation with or into any other entity or any conversion, domestication, transfer or continuance of the Corporation, shares of Voting Common Stock and shares of Non-Voting Common Stock shall be treated equally, identically and ratably, on a per share basis, with respect to any consideration into which such shares are converted or any other consideration paid or otherwise distributed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stockholders of the Corporation in the merger, consolidation, conversion, domestication, transfer or continuance (any such consideration, “Change of Control Consideration”), unless (i) such consideration consists, in whole or in part, of shares of capital stock of, or other equity interests in, the Corporation or any other corporation, partnership, limited liability company or other entity, and the powers, designations, preferences and relative, optional or other special rights and qualifications, limitations and restrictions of such shares of capital stock or other equity interests received in respect of the shares of Voting Common Stock and Non-Voting Common Stock differ solely to the extent that the powers, designations, preferences and relative, optional or other special rights and qualifications, limitations and restrictions of the Voting Common Stock and the Non-Voting Common Stock differ as described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then the powers, designations, preferences and relative, optional or other special rights and qualifications, limitations and restrictions of such shares of capital stock or other equity interests received in respect of the shares of Voting Common Stock and Non-Voting Common Stock may differ to the extent that the powers, designations, preferences and relative, optional or other special rights and qualifications, limitations and restrictions of the Voting Common Stock and the Non-Voting Common Stock differ as provided herein (including, without limitation, with respect to the voting rights and conversion provisions hereof), provided, however, that, if the holders of any series of Common Stock are granted the right to elect to receive one of two or more alternative forms of consideration, the foregoing provisions shall be deemed satisfied if holders of the other series of Common Stock are granted corresponding election rights, or (ii) different treatment of the shares of each such series in connection with such merger, consolidation, conversion, domestication, transfer or continuance is approved by the affirmative vote of the holders of a majority of the outstanding shares of Voting Common Stock; provided further, for the avoidance of doubt, Change of Control Consideration shall not be deemed to include any consideration or other distribution paid to or received by a person who is a holder of Voting Common Stock and/or Non-Voting Common Stock, as applicable, pursuant to (x) any employment, consulting, severance or other compensatory arrangement (including, without limitation, any equity-based or cash compensatory award or payment) whether or not entered into in connection with such merger, consolidation, conversion, domestication, transfer or continuance or (y) a negotiated agreement between a holder of Voting Common Stock and/or Non-Voting Common Stock, as applicable, with any counterparty (or affiliate thereof) to a merger or consolidation wherein such holder is contributing, selling, transferring, exchanging or otherwise disposing of shares of the Corporation’s capital stock to such counterparty (or affiliate thereof) as part of a “rollover” or similar transaction that is approved by (i) a majority of the disinterested directors, as such term is defined in Section 144(e)(4) of the DGCL, then in office, or (ii) any committee of the Board expressly delegated the authority to negotiate (or oversee the negotiation of) and to reject such merger or consolidation, and that is in connection with such merger or consolidation or any such conversion, domestication, transfer or continuance; and</w:t>
      </w:r>
    </w:p>
    <w:p>
      <w:pPr>
        <w:spacing w:after="0" w:line="205" w:lineRule="exact"/>
        <w:rPr>
          <w:sz w:val="20"/>
          <w:szCs w:val="20"/>
          <w:color w:val="auto"/>
        </w:rPr>
      </w:pPr>
    </w:p>
    <w:p>
      <w:pPr>
        <w:ind w:right="24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Voting Common Stock or Non-Voting Common Stock may not be subdivided, combined or reclassified unless the shares of such other series are concurrently therewith proportionately subdivided, combined or reclassified in a manner that maintains the same proportionate equity ownership among the holders of the outstanding Voting Common Stock and Non-Voting Common Stock on the record date for such subdivision, combination or reclassification; provided, however, that shares of one such series may be treated differently if such treatment is approved by the affirmative vote of the holders of a majority of the outstanding shares of Voting Common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CONVERSION OF NON-VOTING COMMON STOCK</w:t>
      </w:r>
    </w:p>
    <w:p>
      <w:pPr>
        <w:spacing w:after="0" w:line="225" w:lineRule="exact"/>
        <w:rPr>
          <w:sz w:val="20"/>
          <w:szCs w:val="20"/>
          <w:color w:val="auto"/>
        </w:rPr>
      </w:pPr>
    </w:p>
    <w:p>
      <w:pPr>
        <w:ind w:firstLine="436"/>
        <w:spacing w:after="0" w:line="253"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Non-Voting Common Stock shall have the right to convert each share of Non-Voting Common Stock held by such holder into one share of Voting Common Stock at such holder’s election, which shall be made upon written notice to the Corporation delivered, provided that, the shares of Non-Voting Common Stock may only be converted into shares of Voting Common Stock during such time or times as immediately prior to or as a result of such conversion would not result in the holder(s) thereof beneficially owning (for purposes of Section 13(d) of the Securities Exchange Act of 1934, as amended, and the rules and regulations promulgated thereunder (collectively, the “Exchange Act”)), when aggregated with affiliates with whom such holder is required to aggregate beneficial ownership for purposes of Section 13(d) of the Exchange Act, in excess of the Beneficial Ownership Limitation. The “Beneficial Ownership Limitation” means initially 9.99% of any class of securities of the Corporation registered under the Exchange Act, which percentage may be increased or decreased by a holder of outstanding shares of Non-Voting Common Stock to such other percentage not in excess of 19.99% at the time of purchase of shares of Non-Voting Common Stock without advance notice to the Corporation or, after the time of purchase, as such holder may designate in writing upon 61 days’ notice to the Corporation, provided, however, that, in each case, such increase or decrease shall only be applicable to such holder.</w:t>
      </w:r>
    </w:p>
    <w:p>
      <w:pPr>
        <w:spacing w:after="0" w:line="191"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holder of Non-Voting Common Stock shall be entitled to convert any shares of Non-Voting Common Stock into shares of Voting Common Stock pursuant to Subsection 1 of Part B of Article IV, such holder shall surrender the certificate or certificates therefor (if any), duly endorsed, at the principal corporate office of the Corporation or of any transfer agent of the Corporation, and shall provide written notice to the Corporation and any such transfer agent, of such conversion election and shall state therein the number of shares of Non-Voting Common Stock elected to be converted, the name or names (i) in which the certificate or certificates representing the shares of Voting Common Stock into which the shares of Non-Voting Common Stock are so converted are to be issued (if such shares of Voting Common Stock will be certificated) or (ii) in which such shares of Voting Common Stock are to be registered in book-entry form (if such shares of Voting Common Stock are uncertificated). If the shares of Voting Common Stock into which the shares of Non-Voting Common Stock are to be converted are to be issued in a name or names other than the name of the holder of the shares of Non-Voting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(i) a certificate or certificates representing the number of shares of Voting Common Stock to which such holder shall be entitled upon such conversion (if such shares of Voting Common Stock are certificated) or shall register such shares of Voting Common Stock in book-entry form (if such shares of Voting Common Stock are uncertificated) and (ii) if applicable, a certificate or certificates representing the number of shares of Non-Voting Common Stock for the number of shares (including any fractional share) of Non-Voting Common Stock represented by the certificate or certificates delivered to the Corporation for conversion but otherwise not elected to be converted pursuant to the written election (if such shares of Non-Voting Common Stock are certificated), or shall register such shares of Non-Voting Common Stock in book-entry form (if such shares of Non-Voting Common Stock are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uncertificated). Such conversion shall be deemed to be effective immediately prior to the close of business (i) with respect to certificated shares, on the date of such surrender of the certificate or certificates representing the shares of Non-Voting Common Stock to be converted or (ii) with respect to shares that are uncertificated, immediately prior to the close of business on the date that the holder delivers notice of such conversion election as required by this Subsection 2(a) of Part B of Article IV to the Corporation and the Corporation’s transfer agent, and, in each case, the shares of Voting Common Stock issuable upon such conversion shall be deemed to be outstanding as of such time, and the person or persons entitled to receive the shares of Voting Common Stock issuable upon such conversion shall be deemed to be the record holder or holders of such shares of Voting Common Stock as of such time. Notwithstanding anything herein to the contrary, shares of Non-Voting Common Stock represented by a lost, stolen or destroyed stock certificate may be converted pursuant to Subsection 1 of Part B of Article IV if the holder thereof notifies the Corporation or its transfer agent that such certificate has been lost, stolen or destroyed and provides an affidavit of that fact acceptable to the Corporation and executes an agreement acceptable to the Corporation to indemnify the Corporation from any loss incurred by it in connection with such certificate.</w:t>
      </w:r>
    </w:p>
    <w:p>
      <w:pPr>
        <w:spacing w:after="0" w:line="194" w:lineRule="exact"/>
        <w:rPr>
          <w:sz w:val="20"/>
          <w:szCs w:val="20"/>
          <w:color w:val="auto"/>
        </w:rPr>
      </w:pPr>
    </w:p>
    <w:p>
      <w:pPr>
        <w:ind w:right="180"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one-to-one conversion ratio for the conversion of the Non-Voting Common Stock into Voting Common Stock shall in all events be equitably adjusted in the event of any reclassification of the Voting Common Stock or Non-Voting Common Stock (including any split or combination thereof), any Distribution on the Voting Common Stock or Non-Voting Common Stock, or in the event of any merger or consolidation of the Corporation, any recapitalization or reorganization of the Corporation, or any other similar event.</w:t>
      </w:r>
    </w:p>
    <w:p>
      <w:pPr>
        <w:spacing w:after="0" w:line="179"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reserve and keep available out of its authorized but unissued shares of Voting Common Stock, solely for the purpose of effecting the conversion of the shares of Non-Voting Common Stock, such number of its shares of Voting Common Stock as shall from time to time be sufficient to effect the conversion of all outstanding shares of Non-Voting Common Stock.</w:t>
      </w:r>
    </w:p>
    <w:p>
      <w:pPr>
        <w:spacing w:after="0" w:line="175" w:lineRule="exact"/>
        <w:rPr>
          <w:rFonts w:ascii="Times New Roman" w:cs="Times New Roman" w:eastAsia="Times New Roman" w:hAnsi="Times New Roman"/>
          <w:sz w:val="18"/>
          <w:szCs w:val="18"/>
          <w:color w:val="auto"/>
        </w:rPr>
      </w:pPr>
    </w:p>
    <w:p>
      <w:pPr>
        <w:ind w:right="560" w:firstLine="436"/>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of Non-Voting Common Stock shall be converted pursuant to this Article IV.B., the shares so converted shall be retired and restored to the status of authorized but unissued shares of Non-Voting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ind w:left="-20" w:firstLine="436"/>
        <w:spacing w:after="0" w:line="254"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to the extent expressly permitted by the certificate of designation relating to one or more series of Preferred Stock, by the holders of such series of Preferred Stock, voting separately as a series or separately as a class with one or more other such series, may be taken by consent in lieu of a meeting, without prior notice and without a vote, if a consent or consents,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applicable law.</w:t>
      </w:r>
    </w:p>
    <w:p>
      <w:pPr>
        <w:spacing w:after="0" w:line="191"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shares of any series of Preferred Stock, special meetings of the stockholders of the Corporation may be called only by the Board of Directors and may not be called by any other person or persons. Only those matters set forth in the notice of the special meeting may be considered or acted upon at a special meeting of stockholders of the Corporation.</w:t>
      </w:r>
    </w:p>
    <w:p>
      <w:pPr>
        <w:spacing w:after="0" w:line="3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left="-20" w:right="180" w:firstLine="436"/>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5"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annual meeting of stockholders following the closing of the Corporation’s sale of a class of its capital stock to the public pursuant to a registration statement on Form S-1 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spacing w:after="0" w:line="196" w:lineRule="exact"/>
        <w:rPr>
          <w:sz w:val="20"/>
          <w:szCs w:val="20"/>
          <w:color w:val="auto"/>
        </w:rPr>
      </w:pPr>
    </w:p>
    <w:p>
      <w:pPr>
        <w:ind w:firstLine="436"/>
        <w:spacing w:after="0" w:line="25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if any, of the holders of any series of Preferred Stock to elect Directors and to fill vacancies in the Board of Directors and newly created directorships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w:t>
      </w:r>
    </w:p>
    <w:p>
      <w:pPr>
        <w:spacing w:after="0" w:line="187" w:lineRule="exact"/>
        <w:rPr>
          <w:sz w:val="20"/>
          <w:szCs w:val="20"/>
          <w:color w:val="auto"/>
        </w:rPr>
      </w:pPr>
    </w:p>
    <w:p>
      <w:pPr>
        <w:ind w:right="140" w:firstLine="436"/>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Preferred Stock to elect Directors and to remove any Director whom the holders of any such series have the right to elect, any Director may be removed from office (i) only for cause and (ii) only by the affirmative vote of the holders of not less than two-thirds (2/3) of the voting power of the outstanding shares of capital stock entitled to vote thereon.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the DGCL, as the same exists or may hereafter be amended from time to time, a Director or officer of the Corporation shall not be personally liable to the Corporation or its stockholders for monetary damages for breach of such Director’s fiduciary duty as a Director or officer of the Corporation. If the DGCL is amended after the effective date of this Certificate to authorize corporate action further eliminating or limiting the personal liability of Directors or officers of the Corporation, then the liability of a Director or officer of the Corporation shall be eliminated or limited to the fullest extent permitted by the DGCL, as so amended.</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Any amendment, repeal or modification of this Article VII shall not adversely affect any right or protection of any Director or officer of the Corporation existing at the time of such amendment, repeal or modification with respect to any acts or omissions by such Director or officer occurring before such amendment, repeal or modification.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right="56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Board of Directors shall have the power to alter, amend or repeal the Bylaws of the Corporation or to adopt new bylaws.</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by the stockholders shall only require the affirmative vote of the holders of a majority of the voting power of the outstanding shares of capital stock entitled to vote on such amendment or repeal, voting together as a single class.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THIRD AMENDED AND RESTATED CERTIFICATE OF INCORPORATION is executed as of this 22nd day of June, 2026.</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KARDIGAN,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Tassos Gianakakos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Tassos Gianakakos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[Signature Page to Third Amended and Restated Certificate of Incorporation]</w:t>
      </w:r>
    </w:p>
    <w:p>
      <w:pPr>
        <w:sectPr>
          <w:pgSz w:w="11900" w:h="16838" w:orient="portrait"/>
          <w:cols w:equalWidth="0" w:num="1">
            <w:col w:w="10580"/>
          </w:cols>
          <w:pgMar w:left="880" w:top="270"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KARDIGAN,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76" w:lineRule="auto"/>
        <w:tabs>
          <w:tab w:leader="none" w:pos="111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of the Corporation (the “Board of Directors”) and the proposal of other business to be considered by the stockholders may be brought before an Annual Meeting (i) by or at the direction of the Board of Directors or</w:t>
      </w:r>
    </w:p>
    <w:p>
      <w:pPr>
        <w:ind w:left="440" w:right="200" w:hanging="4"/>
        <w:spacing w:after="0" w:line="250"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w:t>
      </w:r>
    </w:p>
    <w:p>
      <w:pPr>
        <w:spacing w:after="0" w:line="1"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14a-8 (or any successor rule) under the Securities Exchange Act of 1934, as amended (the “Exchange Act”)),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020"/>
          </w:cols>
          <w:pgMar w:left="440" w:top="117" w:right="439" w:bottom="1440" w:gutter="0" w:footer="0" w:header="0"/>
        </w:sectPr>
      </w:pPr>
    </w:p>
    <w:bookmarkStart w:id="15" w:name="page16"/>
    <w:bookmarkEnd w:id="15"/>
    <w:p>
      <w:pPr>
        <w:ind w:firstLine="419"/>
        <w:spacing w:after="0" w:line="252"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spacing w:after="0" w:line="86"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16" w:name="page17"/>
    <w:bookmarkEnd w:id="16"/>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w:t>
      </w:r>
    </w:p>
    <w:p>
      <w:pPr>
        <w:spacing w:after="0" w:line="5" w:lineRule="exact"/>
        <w:rPr>
          <w:sz w:val="20"/>
          <w:szCs w:val="20"/>
          <w:color w:val="auto"/>
        </w:rPr>
      </w:pPr>
    </w:p>
    <w:p>
      <w:pPr>
        <w:ind w:right="100" w:firstLine="7"/>
        <w:spacing w:after="0" w:line="265" w:lineRule="auto"/>
        <w:tabs>
          <w:tab w:leader="none" w:pos="2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w:t>
      </w:r>
    </w:p>
    <w:p>
      <w:pPr>
        <w:ind w:right="80" w:firstLine="7"/>
        <w:spacing w:after="0" w:line="251"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spacing w:after="0" w:line="85" w:lineRule="exact"/>
        <w:rPr>
          <w:rFonts w:ascii="Times New Roman" w:cs="Times New Roman" w:eastAsia="Times New Roman" w:hAnsi="Times New Roman"/>
          <w:sz w:val="18"/>
          <w:szCs w:val="18"/>
          <w:color w:val="auto"/>
        </w:rPr>
      </w:pPr>
    </w:p>
    <w:p>
      <w:pPr>
        <w:ind w:right="180" w:firstLine="408"/>
        <w:spacing w:after="0" w:line="266" w:lineRule="auto"/>
        <w:tabs>
          <w:tab w:leader="none" w:pos="6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00"/>
          </w:cols>
          <w:pgMar w:left="1420" w:top="270" w:right="479" w:bottom="1440" w:gutter="0" w:footer="0" w:header="0"/>
        </w:sectPr>
      </w:pPr>
    </w:p>
    <w:bookmarkStart w:id="17" w:name="page18"/>
    <w:bookmarkEnd w:id="17"/>
    <w:p>
      <w:pPr>
        <w:ind w:left="-20" w:firstLine="408"/>
        <w:spacing w:after="0" w:line="251" w:lineRule="auto"/>
        <w:tabs>
          <w:tab w:leader="none" w:pos="6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w:t>
      </w:r>
    </w:p>
    <w:p>
      <w:pPr>
        <w:spacing w:after="0" w:line="1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18" w:name="page19"/>
    <w:bookmarkEnd w:id="1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spacing w:after="0" w:line="72" w:lineRule="exact"/>
        <w:rPr>
          <w:sz w:val="20"/>
          <w:szCs w:val="20"/>
          <w:color w:val="auto"/>
        </w:rPr>
      </w:pPr>
    </w:p>
    <w:p>
      <w:pPr>
        <w:ind w:right="160" w:firstLine="408"/>
        <w:spacing w:after="0" w:line="253" w:lineRule="auto"/>
        <w:tabs>
          <w:tab w:leader="none" w:pos="6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spacing w:after="0" w:line="86" w:lineRule="exact"/>
        <w:rPr>
          <w:rFonts w:ascii="Times New Roman" w:cs="Times New Roman" w:eastAsia="Times New Roman" w:hAnsi="Times New Roman"/>
          <w:sz w:val="18"/>
          <w:szCs w:val="18"/>
          <w:color w:val="auto"/>
        </w:rPr>
      </w:pPr>
    </w:p>
    <w:p>
      <w:pPr>
        <w:ind w:firstLine="408"/>
        <w:spacing w:after="0" w:line="252" w:lineRule="auto"/>
        <w:tabs>
          <w:tab w:leader="none" w:pos="6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spacing w:after="0" w:line="1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70" w:right="45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spacing w:after="0" w:line="79" w:lineRule="exact"/>
        <w:rPr>
          <w:sz w:val="20"/>
          <w:szCs w:val="20"/>
          <w:color w:val="auto"/>
        </w:rPr>
      </w:pPr>
    </w:p>
    <w:p>
      <w:pPr>
        <w:ind w:right="100" w:firstLine="419"/>
        <w:spacing w:after="0" w:line="253"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0" w:name="page21"/>
    <w:bookmarkEnd w:id="20"/>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spacing w:after="0" w:line="79" w:lineRule="exact"/>
        <w:rPr>
          <w:sz w:val="20"/>
          <w:szCs w:val="20"/>
          <w:color w:val="auto"/>
        </w:rPr>
      </w:pPr>
    </w:p>
    <w:p>
      <w:pPr>
        <w:ind w:left="4" w:firstLine="419"/>
        <w:spacing w:after="0" w:line="255" w:lineRule="auto"/>
        <w:tabs>
          <w:tab w:leader="none" w:pos="6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spacing w:after="0" w:line="86"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21" w:name="page22"/>
    <w:bookmarkEnd w:id="21"/>
    <w:p>
      <w:pPr>
        <w:ind w:firstLine="419"/>
        <w:spacing w:after="0" w:line="255"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spacing w:after="0" w:line="80" w:lineRule="exact"/>
        <w:rPr>
          <w:rFonts w:ascii="Times New Roman" w:cs="Times New Roman" w:eastAsia="Times New Roman" w:hAnsi="Times New Roman"/>
          <w:sz w:val="18"/>
          <w:szCs w:val="18"/>
          <w:color w:val="auto"/>
        </w:rPr>
      </w:pPr>
    </w:p>
    <w:p>
      <w:pPr>
        <w:ind w:right="240" w:firstLine="419"/>
        <w:spacing w:after="0" w:line="266"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2" w:name="page23"/>
    <w:bookmarkEnd w:id="22"/>
    <w:p>
      <w:pPr>
        <w:ind w:left="440" w:firstLine="419"/>
        <w:spacing w:after="0" w:line="25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5"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spacing w:after="0" w:line="188"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all special meetings of stockholders shall be given in the same manner as provided for Annual Meetings, except that the notice of all special meetings shall also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3" w:name="page24"/>
    <w:bookmarkEnd w:id="23"/>
    <w:p>
      <w:pPr>
        <w:jc w:val="both"/>
        <w:ind w:left="4" w:right="140" w:firstLine="436"/>
        <w:spacing w:after="0" w:line="261"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spacing w:after="0" w:line="179"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68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w:t>
      </w:r>
    </w:p>
    <w:p>
      <w:pPr>
        <w:spacing w:after="0" w:line="4" w:lineRule="exact"/>
        <w:rPr>
          <w:rFonts w:ascii="Times New Roman" w:cs="Times New Roman" w:eastAsia="Times New Roman" w:hAnsi="Times New Roman"/>
          <w:sz w:val="17"/>
          <w:szCs w:val="17"/>
          <w:color w:val="auto"/>
        </w:rPr>
      </w:pPr>
    </w:p>
    <w:p>
      <w:pPr>
        <w:ind w:left="4" w:right="60" w:hanging="4"/>
        <w:spacing w:after="0" w:line="252"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spacing w:after="0" w:line="189"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 of Directors.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Corporation shall prepare, no later than the tenth (10th)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or by applicable law.</w:t>
      </w:r>
    </w:p>
    <w:p>
      <w:pPr>
        <w:spacing w:after="0" w:line="225"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spacing w:after="0" w:line="14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affirmative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 w:name="page29"/>
    <w:bookmarkEnd w:id="28"/>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spacing w:after="0" w:line="68" w:lineRule="exact"/>
        <w:rPr>
          <w:sz w:val="20"/>
          <w:szCs w:val="20"/>
          <w:color w:val="auto"/>
        </w:rPr>
      </w:pPr>
    </w:p>
    <w:p>
      <w:pPr>
        <w:ind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directors in attendance at a meeting called in accordance with Section 17(a) of this Article II shall constitute a quorum.</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spacing w:after="0" w:line="183"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the President, the Treasurer and the Secretary. Other officers may be elected by the Board of Directors or by such officers delegated such authority by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death, resignation or removal.</w:t>
      </w:r>
    </w:p>
    <w:p>
      <w:pPr>
        <w:spacing w:after="0" w:line="162"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spacing w:after="0" w:line="18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0" w:name="page31"/>
    <w:bookmarkEnd w:id="30"/>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Treasurer and Assistant Treasurers</w:t>
      </w:r>
      <w:r>
        <w:rPr>
          <w:rFonts w:ascii="Times New Roman" w:cs="Times New Roman" w:eastAsia="Times New Roman" w:hAnsi="Times New Roman"/>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8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1" w:name="page32"/>
    <w:bookmarkEnd w:id="31"/>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Bonded Officers</w:t>
      </w:r>
      <w:r>
        <w:rPr>
          <w:rFonts w:ascii="Times New Roman" w:cs="Times New Roman" w:eastAsia="Times New Roman" w:hAnsi="Times New Roman"/>
          <w:sz w:val="18"/>
          <w:szCs w:val="18"/>
          <w:color w:val="auto"/>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spacing w:after="0" w:line="3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2" w:name="page33"/>
    <w:bookmarkEnd w:id="32"/>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spacing w:after="0" w:line="19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V:</w:t>
      </w:r>
    </w:p>
    <w:p>
      <w:pPr>
        <w:spacing w:after="0" w:line="117" w:lineRule="exact"/>
        <w:rPr>
          <w:sz w:val="20"/>
          <w:szCs w:val="20"/>
          <w:color w:val="auto"/>
        </w:rPr>
      </w:pPr>
    </w:p>
    <w:p>
      <w:pPr>
        <w:ind w:firstLine="436"/>
        <w:spacing w:after="0" w:line="254"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3" w:name="page34"/>
    <w:bookmarkEnd w:id="33"/>
    <w:p>
      <w:pPr>
        <w:ind w:left="680" w:hanging="26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means any person who serves or has served the Corporation as a director on the Board of Directors of the Corporation;</w:t>
      </w:r>
    </w:p>
    <w:p>
      <w:pPr>
        <w:spacing w:after="0" w:line="225"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6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161" w:lineRule="exact"/>
        <w:rPr>
          <w:rFonts w:ascii="Times New Roman" w:cs="Times New Roman" w:eastAsia="Times New Roman" w:hAnsi="Times New Roman"/>
          <w:sz w:val="18"/>
          <w:szCs w:val="18"/>
          <w:color w:val="auto"/>
        </w:rPr>
      </w:pPr>
    </w:p>
    <w:p>
      <w:pPr>
        <w:ind w:left="-20" w:right="840" w:firstLine="436"/>
        <w:spacing w:after="0" w:line="282" w:lineRule="auto"/>
        <w:tabs>
          <w:tab w:leader="none" w:pos="6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436"/>
        <w:spacing w:after="0" w:line="261"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70" w:right="479" w:bottom="1440" w:gutter="0" w:footer="0" w:header="0"/>
        </w:sectPr>
      </w:pPr>
    </w:p>
    <w:bookmarkStart w:id="34" w:name="page35"/>
    <w:bookmarkEnd w:id="34"/>
    <w:p>
      <w:pPr>
        <w:ind w:firstLine="419"/>
        <w:spacing w:after="0" w:line="255"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right="40" w:firstLine="419"/>
        <w:spacing w:after="0" w:line="253"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86"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53" w:lineRule="exact"/>
        <w:rPr>
          <w:rFonts w:ascii="Times New Roman" w:cs="Times New Roman" w:eastAsia="Times New Roman" w:hAnsi="Times New Roman"/>
          <w:sz w:val="18"/>
          <w:szCs w:val="18"/>
          <w:color w:val="auto"/>
        </w:rPr>
      </w:pPr>
    </w:p>
    <w:p>
      <w:pPr>
        <w:ind w:right="60" w:firstLine="419"/>
        <w:spacing w:after="0" w:line="258"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35" w:name="page36"/>
    <w:bookmarkEnd w:id="3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6" w:name="page37"/>
    <w:bookmarkEnd w:id="36"/>
    <w:p>
      <w:pPr>
        <w:ind w:left="-20" w:right="40" w:firstLine="436"/>
        <w:spacing w:after="0" w:line="255"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left="-20" w:right="180" w:firstLine="436"/>
        <w:spacing w:after="0" w:line="266"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80" w:firstLine="436"/>
        <w:spacing w:after="0" w:line="255" w:lineRule="auto"/>
        <w:tabs>
          <w:tab w:leader="none" w:pos="6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left="-20" w:right="180" w:firstLine="436"/>
        <w:spacing w:after="0" w:line="266" w:lineRule="auto"/>
        <w:tabs>
          <w:tab w:leader="none" w:pos="6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6"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270" w:right="47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spacing w:after="0" w:line="183" w:lineRule="exact"/>
        <w:rPr>
          <w:sz w:val="20"/>
          <w:szCs w:val="20"/>
          <w:color w:val="auto"/>
        </w:rPr>
      </w:pPr>
    </w:p>
    <w:p>
      <w:pPr>
        <w:ind w:right="120" w:firstLine="436"/>
        <w:spacing w:after="0" w:line="255"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8" w:name="page39"/>
    <w:bookmarkEnd w:id="38"/>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9" w:name="page40"/>
    <w:bookmarkEnd w:id="39"/>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Certificate, as amended and/or restated and in effect from time to time.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 of Delaware Courts or the United States Federal District Courts</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required by law, these Bylaws may be amended or repealed by the Board of Directors.</w:t>
      </w:r>
    </w:p>
    <w:p>
      <w:pPr>
        <w:spacing w:after="0" w:line="225"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by the Board of Directors on May 22, 2026, approved by the stockholders on June 8, 2026, and effective on June 17, 2026, upon the effectiveness of the Corporation’s Registration Statement on Form S-1 for its initial public offering.</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3"/>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1."/>
      <w:numFmt w:val="decimal"/>
      <w:start w:val="4"/>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lowerLetter"/>
      <w:start w:val="1"/>
    </w:lvl>
    <w:lvl w:ilvl="1">
      <w:lvlJc w:val="left"/>
      <w:lvlText w:val="(%2)"/>
      <w:numFmt w:val="decimal"/>
      <w:start w:val="1"/>
    </w:lvl>
  </w:abstractNum>
  <w:abstractNum w:abstractNumId="14">
    <w:nsid w:val="71F32454"/>
    <w:multiLevelType w:val="hybridMultilevel"/>
    <w:lvl w:ilvl="0">
      <w:lvlJc w:val="left"/>
      <w:lvlText w:val="(%1)"/>
      <w:numFmt w:val="lowerLetter"/>
      <w:start w:val="35"/>
    </w:lvl>
    <w:lvl w:ilvl="1">
      <w:lvlJc w:val="left"/>
      <w:lvlText w:val="%2"/>
      <w:numFmt w:val="decimal"/>
      <w:start w:val="1"/>
    </w:lvl>
  </w:abstractNum>
  <w:abstractNum w:abstractNumId="15">
    <w:nsid w:val="2CA88611"/>
    <w:multiLevelType w:val="hybridMultilevel"/>
    <w:lvl w:ilvl="0">
      <w:lvlJc w:val="left"/>
      <w:lvlText w:val="(%1)"/>
      <w:numFmt w:val="decimal"/>
      <w:start w:val="2"/>
    </w:lvl>
    <w:lvl w:ilvl="1">
      <w:lvlJc w:val="left"/>
      <w:lvlText w:val="(%2)"/>
      <w:numFmt w:val="upperLetter"/>
      <w:start w:val="1"/>
    </w:lvl>
  </w:abstractNum>
  <w:abstractNum w:abstractNumId="16">
    <w:nsid w:val="836C40E"/>
    <w:multiLevelType w:val="hybridMultilevel"/>
    <w:lvl w:ilvl="0">
      <w:lvlJc w:val="left"/>
      <w:lvlText w:val="(%1)"/>
      <w:numFmt w:val="lowerLetter"/>
      <w:start w:val="22"/>
    </w:lvl>
    <w:lvl w:ilvl="1">
      <w:lvlJc w:val="left"/>
      <w:lvlText w:val="%2"/>
      <w:numFmt w:val="upperLetter"/>
      <w:start w:val="1"/>
    </w:lvl>
  </w:abstractNum>
  <w:abstractNum w:abstractNumId="17">
    <w:nsid w:val="2901D82"/>
    <w:multiLevelType w:val="hybridMultilevel"/>
    <w:lvl w:ilvl="0">
      <w:lvlJc w:val="left"/>
      <w:lvlText w:val="(%1)"/>
      <w:numFmt w:val="lowerLetter"/>
      <w:start w:val="5"/>
    </w:lvl>
    <w:lvl w:ilvl="1">
      <w:lvlJc w:val="left"/>
      <w:lvlText w:val="(%2)"/>
      <w:numFmt w:val="upperLetter"/>
      <w:start w:val="2"/>
    </w:lvl>
  </w:abstractNum>
  <w:abstractNum w:abstractNumId="18">
    <w:nsid w:val="3A95F874"/>
    <w:multiLevelType w:val="hybridMultilevel"/>
    <w:lvl w:ilvl="0">
      <w:lvlJc w:val="left"/>
      <w:lvlText w:val="(%1)"/>
      <w:numFmt w:val="upperLetter"/>
      <w:start w:val="3"/>
    </w:lvl>
  </w:abstractNum>
  <w:abstractNum w:abstractNumId="19">
    <w:nsid w:val="8138641"/>
    <w:multiLevelType w:val="hybridMultilevel"/>
    <w:lvl w:ilvl="0">
      <w:lvlJc w:val="left"/>
      <w:lvlText w:val="(%1)"/>
      <w:numFmt w:val="upperLetter"/>
      <w:start w:val="4"/>
    </w:lvl>
  </w:abstractNum>
  <w:abstractNum w:abstractNumId="20">
    <w:nsid w:val="1E7FF521"/>
    <w:multiLevelType w:val="hybridMultilevel"/>
    <w:lvl w:ilvl="0">
      <w:lvlJc w:val="left"/>
      <w:lvlText w:val="(%1)"/>
      <w:numFmt w:val="decimal"/>
      <w:start w:val="3"/>
    </w:lvl>
  </w:abstractNum>
  <w:abstractNum w:abstractNumId="21">
    <w:nsid w:val="7C3DBD3D"/>
    <w:multiLevelType w:val="hybridMultilevel"/>
    <w:lvl w:ilvl="0">
      <w:lvlJc w:val="left"/>
      <w:lvlText w:val="%1"/>
      <w:numFmt w:val="lowerLetter"/>
      <w:start w:val="1"/>
    </w:lvl>
    <w:lvl w:ilvl="1">
      <w:lvlJc w:val="left"/>
      <w:lvlText w:val="(%2)"/>
      <w:numFmt w:val="decimal"/>
      <w:start w:val="4"/>
    </w:lvl>
  </w:abstractNum>
  <w:abstractNum w:abstractNumId="22">
    <w:nsid w:val="737B8DDC"/>
    <w:multiLevelType w:val="hybridMultilevel"/>
    <w:lvl w:ilvl="0">
      <w:lvlJc w:val="left"/>
      <w:lvlText w:val="(%1)"/>
      <w:numFmt w:val="lowerLetter"/>
      <w:start w:val="2"/>
    </w:lvl>
    <w:lvl w:ilvl="1">
      <w:lvlJc w:val="left"/>
      <w:lvlText w:val="(%2)"/>
      <w:numFmt w:val="decimal"/>
      <w:start w:val="1"/>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7"/>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lvl w:ilvl="1">
      <w:lvlJc w:val="left"/>
      <w:lvlText w:val="(%2)"/>
      <w:numFmt w:val="lowerLetter"/>
      <w:start w:val="4"/>
    </w:lvl>
  </w:abstractNum>
  <w:abstractNum w:abstractNumId="27">
    <w:nsid w:val="614FD4A1"/>
    <w:multiLevelType w:val="hybridMultilevel"/>
    <w:lvl w:ilvl="0">
      <w:lvlJc w:val="left"/>
      <w:lvlText w:val="(%1)"/>
      <w:numFmt w:val="lowerLetter"/>
      <w:start w:val="35"/>
    </w:lvl>
    <w:lvl w:ilvl="1">
      <w:lvlJc w:val="left"/>
      <w:lvlText w:val="%2"/>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2026-06-23T05:24:58Z</dcterms:created>
  <dcterms:modified xsi:type="dcterms:W3CDTF">2026-06-23T05:24:58Z</dcterms:modified>
</cp:coreProperties>
</file>